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C97B0" w14:textId="375CDF2C" w:rsidR="002E0514" w:rsidRPr="005A7B9E" w:rsidRDefault="006F4A2B" w:rsidP="00C14688">
      <w:pPr>
        <w:spacing w:after="0" w:line="240" w:lineRule="auto"/>
        <w:jc w:val="both"/>
        <w:rPr>
          <w:b/>
          <w:u w:val="single"/>
          <w:lang w:val="en-GB"/>
        </w:rPr>
      </w:pPr>
      <w:r w:rsidRPr="005A7B9E">
        <w:rPr>
          <w:b/>
          <w:u w:val="single"/>
          <w:lang w:val="en-GB"/>
        </w:rPr>
        <w:t xml:space="preserve">Power of attorney </w:t>
      </w:r>
    </w:p>
    <w:p w14:paraId="50B375D3" w14:textId="5FCB2EF0" w:rsidR="00AA3A50" w:rsidRPr="005A7B9E" w:rsidRDefault="00AA3A50" w:rsidP="00C14688">
      <w:pPr>
        <w:spacing w:after="0" w:line="240" w:lineRule="auto"/>
        <w:jc w:val="both"/>
        <w:rPr>
          <w:b/>
          <w:lang w:val="en-GB"/>
        </w:rPr>
      </w:pPr>
    </w:p>
    <w:p w14:paraId="7E658C05" w14:textId="675C0293" w:rsidR="00900048" w:rsidRPr="005A7B9E" w:rsidRDefault="006F4A2B" w:rsidP="00C14688">
      <w:pPr>
        <w:spacing w:after="0" w:line="240" w:lineRule="auto"/>
        <w:jc w:val="both"/>
        <w:rPr>
          <w:bCs/>
          <w:lang w:val="en-GB"/>
        </w:rPr>
      </w:pPr>
      <w:r w:rsidRPr="005A7B9E">
        <w:rPr>
          <w:bCs/>
          <w:lang w:val="en-GB"/>
        </w:rPr>
        <w:t xml:space="preserve">Information on the submission of </w:t>
      </w:r>
      <w:r w:rsidR="00221B39" w:rsidRPr="005A7B9E">
        <w:rPr>
          <w:bCs/>
          <w:lang w:val="en-GB"/>
        </w:rPr>
        <w:t xml:space="preserve">the </w:t>
      </w:r>
      <w:r w:rsidRPr="005A7B9E">
        <w:rPr>
          <w:bCs/>
          <w:lang w:val="en-GB"/>
        </w:rPr>
        <w:t xml:space="preserve">power of attorney documents </w:t>
      </w:r>
      <w:r w:rsidR="00ED5D01" w:rsidRPr="005A7B9E">
        <w:rPr>
          <w:rFonts w:cstheme="minorHAnsi"/>
          <w:lang w:val="en-GB"/>
        </w:rPr>
        <w:t>has been</w:t>
      </w:r>
      <w:r w:rsidR="00221B39" w:rsidRPr="005A7B9E">
        <w:rPr>
          <w:rFonts w:cstheme="minorHAnsi"/>
          <w:lang w:val="en-GB"/>
        </w:rPr>
        <w:t xml:space="preserve"> </w:t>
      </w:r>
      <w:r w:rsidR="00900048" w:rsidRPr="005A7B9E">
        <w:rPr>
          <w:rFonts w:cstheme="minorHAnsi"/>
          <w:lang w:val="en-GB"/>
        </w:rPr>
        <w:t>divided into national and European procedures. Similar requirements apply under the</w:t>
      </w:r>
      <w:r w:rsidR="00ED5D01" w:rsidRPr="005A7B9E">
        <w:rPr>
          <w:rFonts w:cstheme="minorHAnsi"/>
          <w:lang w:val="en-GB"/>
        </w:rPr>
        <w:t xml:space="preserve"> national</w:t>
      </w:r>
      <w:r w:rsidR="00900048" w:rsidRPr="005A7B9E">
        <w:rPr>
          <w:rFonts w:cstheme="minorHAnsi"/>
          <w:lang w:val="en-GB"/>
        </w:rPr>
        <w:t xml:space="preserve"> </w:t>
      </w:r>
      <w:r w:rsidR="00ED5D01" w:rsidRPr="005A7B9E">
        <w:rPr>
          <w:rFonts w:cstheme="minorHAnsi"/>
          <w:lang w:val="en-GB"/>
        </w:rPr>
        <w:t>and</w:t>
      </w:r>
      <w:r w:rsidR="00ED5D01" w:rsidRPr="005A7B9E">
        <w:rPr>
          <w:rFonts w:cstheme="minorHAnsi"/>
          <w:lang w:val="en-GB"/>
        </w:rPr>
        <w:t xml:space="preserve"> </w:t>
      </w:r>
      <w:r w:rsidR="00900048" w:rsidRPr="005A7B9E">
        <w:rPr>
          <w:rFonts w:cstheme="minorHAnsi"/>
          <w:lang w:val="en-GB"/>
        </w:rPr>
        <w:t xml:space="preserve">European procedures with </w:t>
      </w:r>
      <w:r w:rsidR="003409D2" w:rsidRPr="005A7B9E">
        <w:rPr>
          <w:rFonts w:cstheme="minorHAnsi"/>
          <w:lang w:val="en-GB"/>
        </w:rPr>
        <w:br/>
      </w:r>
      <w:r w:rsidR="00900048" w:rsidRPr="005A7B9E">
        <w:rPr>
          <w:rFonts w:cstheme="minorHAnsi"/>
          <w:lang w:val="en-GB"/>
        </w:rPr>
        <w:t>a few exceptions which are listed at the end of this document.</w:t>
      </w:r>
    </w:p>
    <w:p w14:paraId="091284CB" w14:textId="77777777" w:rsidR="001744B4" w:rsidRPr="005A7B9E" w:rsidRDefault="001744B4" w:rsidP="00C14688">
      <w:pPr>
        <w:spacing w:after="0" w:line="240" w:lineRule="auto"/>
        <w:jc w:val="both"/>
        <w:rPr>
          <w:b/>
          <w:lang w:val="en-GB"/>
        </w:rPr>
      </w:pPr>
    </w:p>
    <w:p w14:paraId="3F65935E" w14:textId="77777777" w:rsidR="00D36F4D" w:rsidRPr="005A7B9E" w:rsidRDefault="00D36F4D" w:rsidP="00C14688">
      <w:pPr>
        <w:spacing w:after="0" w:line="240" w:lineRule="auto"/>
        <w:jc w:val="both"/>
        <w:rPr>
          <w:b/>
          <w:lang w:val="en-GB"/>
        </w:rPr>
      </w:pPr>
    </w:p>
    <w:p w14:paraId="56734313" w14:textId="33C0BA0F" w:rsidR="004B1FC1" w:rsidRPr="005A7B9E" w:rsidRDefault="00221B39" w:rsidP="00C14688">
      <w:pPr>
        <w:spacing w:after="0" w:line="240" w:lineRule="auto"/>
        <w:jc w:val="both"/>
        <w:rPr>
          <w:rFonts w:cstheme="minorHAnsi"/>
          <w:b/>
          <w:lang w:val="en-GB"/>
        </w:rPr>
      </w:pPr>
      <w:r w:rsidRPr="005A7B9E">
        <w:rPr>
          <w:rFonts w:cstheme="minorHAnsi"/>
          <w:b/>
          <w:lang w:val="en-GB"/>
        </w:rPr>
        <w:t>N</w:t>
      </w:r>
      <w:r w:rsidR="004B1FC1" w:rsidRPr="005A7B9E">
        <w:rPr>
          <w:rFonts w:cstheme="minorHAnsi"/>
          <w:b/>
          <w:lang w:val="en-GB"/>
        </w:rPr>
        <w:t>ational procedure</w:t>
      </w:r>
    </w:p>
    <w:p w14:paraId="6B94D290" w14:textId="77777777" w:rsidR="008D4CC5" w:rsidRPr="005A7B9E" w:rsidRDefault="008D4CC5" w:rsidP="00C14688">
      <w:pPr>
        <w:spacing w:after="0" w:line="240" w:lineRule="auto"/>
        <w:jc w:val="both"/>
        <w:rPr>
          <w:b/>
          <w:lang w:val="en-GB"/>
        </w:rPr>
      </w:pPr>
    </w:p>
    <w:p w14:paraId="475ECABC" w14:textId="00BD686D" w:rsidR="002E0514" w:rsidRPr="005A7B9E" w:rsidRDefault="004B1FC1" w:rsidP="00C14688">
      <w:pPr>
        <w:spacing w:after="0" w:line="240" w:lineRule="auto"/>
        <w:jc w:val="both"/>
        <w:rPr>
          <w:b/>
          <w:lang w:val="en-GB"/>
        </w:rPr>
      </w:pPr>
      <w:r w:rsidRPr="005A7B9E">
        <w:rPr>
          <w:b/>
          <w:lang w:val="en-GB"/>
        </w:rPr>
        <w:t>Procedures concerning:</w:t>
      </w:r>
    </w:p>
    <w:p w14:paraId="53489A8F" w14:textId="0BD80676" w:rsidR="004B1FC1" w:rsidRPr="005A7B9E" w:rsidRDefault="004B1FC1" w:rsidP="00700445">
      <w:pPr>
        <w:pStyle w:val="Akapitzlist"/>
        <w:numPr>
          <w:ilvl w:val="0"/>
          <w:numId w:val="2"/>
        </w:numPr>
        <w:spacing w:after="0" w:line="240" w:lineRule="auto"/>
        <w:jc w:val="both"/>
        <w:rPr>
          <w:rFonts w:cstheme="minorHAnsi"/>
          <w:lang w:val="en-GB"/>
        </w:rPr>
      </w:pPr>
      <w:r w:rsidRPr="005A7B9E">
        <w:rPr>
          <w:rFonts w:cstheme="minorHAnsi"/>
          <w:lang w:val="en-GB"/>
        </w:rPr>
        <w:t xml:space="preserve">variations to marketing authorisation and </w:t>
      </w:r>
      <w:r w:rsidR="007F51F2" w:rsidRPr="005A7B9E">
        <w:rPr>
          <w:rFonts w:cstheme="minorHAnsi"/>
          <w:lang w:val="en-GB"/>
        </w:rPr>
        <w:t>marketing authorisation dossier</w:t>
      </w:r>
      <w:r w:rsidRPr="005A7B9E">
        <w:rPr>
          <w:rFonts w:cstheme="minorHAnsi"/>
          <w:lang w:val="en-GB"/>
        </w:rPr>
        <w:t xml:space="preserve"> pursuant to Commission Regulation (EC) No 1234/2008 </w:t>
      </w:r>
      <w:r w:rsidR="00700445" w:rsidRPr="00700445">
        <w:rPr>
          <w:rFonts w:cstheme="minorHAnsi"/>
          <w:lang w:val="en-GB"/>
        </w:rPr>
        <w:t xml:space="preserve">of 24 November 2008 </w:t>
      </w:r>
      <w:r w:rsidR="007F51F2" w:rsidRPr="005A7B9E">
        <w:rPr>
          <w:rFonts w:cstheme="minorHAnsi"/>
          <w:lang w:val="en-GB"/>
        </w:rPr>
        <w:t>concerning</w:t>
      </w:r>
      <w:r w:rsidRPr="005A7B9E">
        <w:rPr>
          <w:rFonts w:cstheme="minorHAnsi"/>
          <w:lang w:val="en-GB"/>
        </w:rPr>
        <w:t xml:space="preserve"> the examination of variations to</w:t>
      </w:r>
      <w:r w:rsidR="007F51F2" w:rsidRPr="005A7B9E">
        <w:rPr>
          <w:rFonts w:cstheme="minorHAnsi"/>
          <w:lang w:val="en-GB"/>
        </w:rPr>
        <w:t xml:space="preserve"> the terms of marketing authoris</w:t>
      </w:r>
      <w:r w:rsidRPr="005A7B9E">
        <w:rPr>
          <w:rFonts w:cstheme="minorHAnsi"/>
          <w:lang w:val="en-GB"/>
        </w:rPr>
        <w:t>ations for medicinal products for human use and veterinary medicinal products</w:t>
      </w:r>
    </w:p>
    <w:p w14:paraId="235E3F56" w14:textId="686F6581" w:rsidR="004B1FC1" w:rsidRPr="005A7B9E" w:rsidRDefault="004B1FC1" w:rsidP="00C14688">
      <w:pPr>
        <w:pStyle w:val="Akapitzlist"/>
        <w:numPr>
          <w:ilvl w:val="0"/>
          <w:numId w:val="2"/>
        </w:numPr>
        <w:spacing w:after="0" w:line="240" w:lineRule="auto"/>
        <w:jc w:val="both"/>
        <w:rPr>
          <w:rFonts w:cstheme="minorHAnsi"/>
          <w:lang w:val="en-GB"/>
        </w:rPr>
      </w:pPr>
      <w:r w:rsidRPr="005A7B9E">
        <w:rPr>
          <w:rFonts w:cstheme="minorHAnsi"/>
          <w:lang w:val="en-GB"/>
        </w:rPr>
        <w:t>variations pursuant to the Regulation of the Minister of Health of 12 May 2014 on variations to marketing authorisation and marketing authorisation dossier</w:t>
      </w:r>
    </w:p>
    <w:p w14:paraId="71B0827B" w14:textId="5363A598" w:rsidR="004B1FC1" w:rsidRPr="005A7B9E" w:rsidRDefault="004B1FC1" w:rsidP="00C14688">
      <w:pPr>
        <w:pStyle w:val="Akapitzlist"/>
        <w:numPr>
          <w:ilvl w:val="0"/>
          <w:numId w:val="2"/>
        </w:numPr>
        <w:spacing w:after="0" w:line="240" w:lineRule="auto"/>
        <w:jc w:val="both"/>
        <w:rPr>
          <w:rFonts w:cstheme="minorHAnsi"/>
          <w:lang w:val="en-GB"/>
        </w:rPr>
      </w:pPr>
      <w:r w:rsidRPr="005A7B9E">
        <w:rPr>
          <w:rFonts w:cstheme="minorHAnsi"/>
          <w:lang w:val="en-GB"/>
        </w:rPr>
        <w:t xml:space="preserve">variations </w:t>
      </w:r>
      <w:r w:rsidR="00221B39" w:rsidRPr="005A7B9E">
        <w:rPr>
          <w:rFonts w:cstheme="minorHAnsi"/>
          <w:lang w:val="en-GB"/>
        </w:rPr>
        <w:t xml:space="preserve">pursuant to </w:t>
      </w:r>
      <w:r w:rsidR="007F51F2" w:rsidRPr="005A7B9E">
        <w:rPr>
          <w:rFonts w:cstheme="minorHAnsi"/>
          <w:lang w:val="en-GB"/>
        </w:rPr>
        <w:t>Article 31</w:t>
      </w:r>
      <w:r w:rsidRPr="005A7B9E">
        <w:rPr>
          <w:rFonts w:cstheme="minorHAnsi"/>
          <w:lang w:val="en-GB"/>
        </w:rPr>
        <w:t xml:space="preserve">(1c) of the Pharmaceutical Law of 6 September 2001 (hereinafter  the </w:t>
      </w:r>
      <w:r w:rsidR="00221B39" w:rsidRPr="005A7B9E">
        <w:rPr>
          <w:rFonts w:cstheme="minorHAnsi"/>
          <w:lang w:val="en-GB"/>
        </w:rPr>
        <w:t>“</w:t>
      </w:r>
      <w:r w:rsidRPr="005A7B9E">
        <w:rPr>
          <w:rFonts w:cstheme="minorHAnsi"/>
          <w:lang w:val="en-GB"/>
        </w:rPr>
        <w:t>Pharmaceutical Law”), the so-called ‘</w:t>
      </w:r>
      <w:r w:rsidRPr="005A7B9E">
        <w:rPr>
          <w:rFonts w:cstheme="minorHAnsi"/>
          <w:i/>
          <w:iCs/>
          <w:lang w:val="en-GB"/>
        </w:rPr>
        <w:t>notifications</w:t>
      </w:r>
      <w:r w:rsidRPr="005A7B9E">
        <w:rPr>
          <w:rFonts w:cstheme="minorHAnsi"/>
          <w:lang w:val="en-GB"/>
        </w:rPr>
        <w:t>’</w:t>
      </w:r>
    </w:p>
    <w:p w14:paraId="1B8AAA63" w14:textId="30D49103" w:rsidR="004B1FC1" w:rsidRPr="005A7B9E" w:rsidRDefault="004B1FC1" w:rsidP="00C14688">
      <w:pPr>
        <w:pStyle w:val="Akapitzlist"/>
        <w:numPr>
          <w:ilvl w:val="0"/>
          <w:numId w:val="2"/>
        </w:numPr>
        <w:spacing w:after="0" w:line="240" w:lineRule="auto"/>
        <w:jc w:val="both"/>
        <w:rPr>
          <w:rFonts w:cstheme="minorHAnsi"/>
          <w:lang w:val="en-GB"/>
        </w:rPr>
      </w:pPr>
      <w:r w:rsidRPr="005A7B9E">
        <w:rPr>
          <w:rFonts w:cstheme="minorHAnsi"/>
          <w:lang w:val="en-GB"/>
        </w:rPr>
        <w:t>change of the Marketing Authorisation Holder (Article 32 of the Pharmaceutical Law)</w:t>
      </w:r>
    </w:p>
    <w:p w14:paraId="31B75BA0" w14:textId="65CBDCEE" w:rsidR="004B1FC1" w:rsidRPr="005A7B9E" w:rsidRDefault="004B1FC1" w:rsidP="00C14688">
      <w:pPr>
        <w:pStyle w:val="Akapitzlist"/>
        <w:numPr>
          <w:ilvl w:val="0"/>
          <w:numId w:val="2"/>
        </w:numPr>
        <w:spacing w:after="0" w:line="240" w:lineRule="auto"/>
        <w:jc w:val="both"/>
        <w:rPr>
          <w:rFonts w:cstheme="minorHAnsi"/>
          <w:lang w:val="en-GB"/>
        </w:rPr>
      </w:pPr>
      <w:r w:rsidRPr="005A7B9E">
        <w:rPr>
          <w:rFonts w:cstheme="minorHAnsi"/>
          <w:lang w:val="en-GB"/>
        </w:rPr>
        <w:t>change of the decision pursuant to Article 155 of the Act of 14 June 1960 Code of Administrative Procedure</w:t>
      </w:r>
    </w:p>
    <w:p w14:paraId="6242E3C9" w14:textId="5937CEC7" w:rsidR="004B1FC1" w:rsidRPr="005A7B9E" w:rsidRDefault="004B1FC1" w:rsidP="00C14688">
      <w:pPr>
        <w:pStyle w:val="Akapitzlist"/>
        <w:numPr>
          <w:ilvl w:val="0"/>
          <w:numId w:val="2"/>
        </w:numPr>
        <w:spacing w:after="0" w:line="240" w:lineRule="auto"/>
        <w:jc w:val="both"/>
        <w:rPr>
          <w:rFonts w:cstheme="minorHAnsi"/>
          <w:lang w:val="en-GB"/>
        </w:rPr>
      </w:pPr>
      <w:r w:rsidRPr="005A7B9E">
        <w:rPr>
          <w:rFonts w:cstheme="minorHAnsi"/>
          <w:lang w:val="en-GB"/>
        </w:rPr>
        <w:t>renew</w:t>
      </w:r>
      <w:r w:rsidR="00F00D27" w:rsidRPr="005A7B9E">
        <w:rPr>
          <w:rFonts w:cstheme="minorHAnsi"/>
          <w:lang w:val="en-GB"/>
        </w:rPr>
        <w:t>al of a marketing authorisation</w:t>
      </w:r>
    </w:p>
    <w:p w14:paraId="3B298DFB" w14:textId="779091E6" w:rsidR="004B1FC1" w:rsidRPr="005A7B9E" w:rsidRDefault="00F00D27" w:rsidP="00C14688">
      <w:pPr>
        <w:pStyle w:val="Akapitzlist"/>
        <w:numPr>
          <w:ilvl w:val="0"/>
          <w:numId w:val="2"/>
        </w:numPr>
        <w:spacing w:after="0" w:line="240" w:lineRule="auto"/>
        <w:jc w:val="both"/>
        <w:rPr>
          <w:rFonts w:cstheme="minorHAnsi"/>
          <w:lang w:val="en-GB"/>
        </w:rPr>
      </w:pPr>
      <w:r w:rsidRPr="005A7B9E">
        <w:rPr>
          <w:rFonts w:cstheme="minorHAnsi"/>
          <w:lang w:val="en-GB"/>
        </w:rPr>
        <w:t>withdrawal</w:t>
      </w:r>
      <w:r w:rsidR="004B1FC1" w:rsidRPr="005A7B9E">
        <w:rPr>
          <w:rFonts w:cstheme="minorHAnsi"/>
          <w:lang w:val="en-GB"/>
        </w:rPr>
        <w:t xml:space="preserve"> of a marketing auth</w:t>
      </w:r>
      <w:r w:rsidRPr="005A7B9E">
        <w:rPr>
          <w:rFonts w:cstheme="minorHAnsi"/>
          <w:lang w:val="en-GB"/>
        </w:rPr>
        <w:t>orisation</w:t>
      </w:r>
    </w:p>
    <w:p w14:paraId="5F9AC7BC" w14:textId="7FA0B425" w:rsidR="002E0514" w:rsidRPr="005A7B9E" w:rsidRDefault="00F00D27" w:rsidP="00C14688">
      <w:pPr>
        <w:pStyle w:val="Akapitzlist"/>
        <w:numPr>
          <w:ilvl w:val="0"/>
          <w:numId w:val="2"/>
        </w:numPr>
        <w:spacing w:after="0" w:line="240" w:lineRule="auto"/>
        <w:jc w:val="both"/>
        <w:rPr>
          <w:rFonts w:cstheme="minorHAnsi"/>
          <w:lang w:val="en-GB"/>
        </w:rPr>
      </w:pPr>
      <w:r w:rsidRPr="005A7B9E">
        <w:rPr>
          <w:rFonts w:cstheme="minorHAnsi"/>
          <w:lang w:val="en-GB"/>
        </w:rPr>
        <w:t>other post-</w:t>
      </w:r>
      <w:r w:rsidR="004B1FC1" w:rsidRPr="005A7B9E">
        <w:rPr>
          <w:rFonts w:cstheme="minorHAnsi"/>
          <w:lang w:val="en-GB"/>
        </w:rPr>
        <w:t>approval procedures</w:t>
      </w:r>
      <w:r w:rsidRPr="005A7B9E">
        <w:rPr>
          <w:rFonts w:cstheme="minorHAnsi"/>
          <w:lang w:val="en-GB"/>
        </w:rPr>
        <w:t xml:space="preserve"> related to a marketing authorisation</w:t>
      </w:r>
    </w:p>
    <w:p w14:paraId="4FED636B" w14:textId="77777777" w:rsidR="001F39E7" w:rsidRPr="005A7B9E" w:rsidRDefault="001F39E7" w:rsidP="00C14688">
      <w:pPr>
        <w:spacing w:after="0" w:line="240" w:lineRule="auto"/>
        <w:jc w:val="both"/>
        <w:rPr>
          <w:lang w:val="en-GB"/>
        </w:rPr>
      </w:pPr>
    </w:p>
    <w:p w14:paraId="5FB17D7E" w14:textId="77777777" w:rsidR="003146E4" w:rsidRPr="005A7B9E" w:rsidRDefault="003146E4" w:rsidP="00C14688">
      <w:pPr>
        <w:spacing w:after="0" w:line="240" w:lineRule="auto"/>
        <w:jc w:val="both"/>
        <w:rPr>
          <w:b/>
          <w:lang w:val="en-GB"/>
        </w:rPr>
      </w:pPr>
    </w:p>
    <w:p w14:paraId="0539ADF8" w14:textId="46A19385" w:rsidR="004B1FC1" w:rsidRPr="005A7B9E" w:rsidRDefault="004B1FC1" w:rsidP="00C14688">
      <w:pPr>
        <w:pStyle w:val="Akapitzlist"/>
        <w:numPr>
          <w:ilvl w:val="0"/>
          <w:numId w:val="12"/>
        </w:numPr>
        <w:spacing w:after="0" w:line="240" w:lineRule="auto"/>
        <w:jc w:val="both"/>
        <w:rPr>
          <w:rFonts w:cstheme="minorHAnsi"/>
          <w:b/>
          <w:lang w:val="en-GB"/>
        </w:rPr>
      </w:pPr>
      <w:r w:rsidRPr="005A7B9E">
        <w:rPr>
          <w:rFonts w:cstheme="minorHAnsi"/>
          <w:b/>
          <w:lang w:val="en-GB"/>
        </w:rPr>
        <w:t>A document identifying the person auth</w:t>
      </w:r>
      <w:r w:rsidR="00F00D27" w:rsidRPr="005A7B9E">
        <w:rPr>
          <w:rFonts w:cstheme="minorHAnsi"/>
          <w:b/>
          <w:lang w:val="en-GB"/>
        </w:rPr>
        <w:t>orized to act on behalf of the Marketing Authorisation H</w:t>
      </w:r>
      <w:r w:rsidRPr="005A7B9E">
        <w:rPr>
          <w:rFonts w:cstheme="minorHAnsi"/>
          <w:b/>
          <w:lang w:val="en-GB"/>
        </w:rPr>
        <w:t>older should</w:t>
      </w:r>
      <w:r w:rsidR="00F00D27" w:rsidRPr="005A7B9E">
        <w:rPr>
          <w:rFonts w:cstheme="minorHAnsi"/>
          <w:b/>
          <w:lang w:val="en-GB"/>
        </w:rPr>
        <w:t xml:space="preserve"> be </w:t>
      </w:r>
      <w:r w:rsidR="00963DE3">
        <w:rPr>
          <w:rFonts w:cstheme="minorHAnsi"/>
          <w:b/>
          <w:lang w:val="en-GB"/>
        </w:rPr>
        <w:t xml:space="preserve">submitted </w:t>
      </w:r>
      <w:r w:rsidR="00F00D27" w:rsidRPr="005A7B9E">
        <w:rPr>
          <w:rFonts w:cstheme="minorHAnsi"/>
          <w:b/>
          <w:lang w:val="en-GB"/>
        </w:rPr>
        <w:t>with each application</w:t>
      </w:r>
      <w:r w:rsidR="004610EA">
        <w:rPr>
          <w:rFonts w:cstheme="minorHAnsi"/>
          <w:b/>
          <w:lang w:val="en-GB"/>
        </w:rPr>
        <w:t>.</w:t>
      </w:r>
    </w:p>
    <w:p w14:paraId="1EC016C8" w14:textId="77777777" w:rsidR="003146E4" w:rsidRPr="005A7B9E" w:rsidRDefault="003146E4" w:rsidP="00C14688">
      <w:pPr>
        <w:spacing w:after="0" w:line="240" w:lineRule="auto"/>
        <w:jc w:val="both"/>
        <w:rPr>
          <w:lang w:val="en-GB"/>
        </w:rPr>
      </w:pPr>
    </w:p>
    <w:p w14:paraId="1B0DCD28" w14:textId="54D287E9" w:rsidR="004B1FC1" w:rsidRPr="005A7B9E" w:rsidRDefault="004B1FC1" w:rsidP="00C14688">
      <w:pPr>
        <w:spacing w:after="0" w:line="240" w:lineRule="auto"/>
        <w:jc w:val="both"/>
        <w:rPr>
          <w:lang w:val="en-GB"/>
        </w:rPr>
      </w:pPr>
      <w:r w:rsidRPr="005A7B9E">
        <w:rPr>
          <w:lang w:val="en-GB"/>
        </w:rPr>
        <w:t xml:space="preserve">The </w:t>
      </w:r>
      <w:r w:rsidR="004B4690" w:rsidRPr="005A7B9E">
        <w:rPr>
          <w:lang w:val="en-GB"/>
        </w:rPr>
        <w:t>following person</w:t>
      </w:r>
      <w:r w:rsidR="00F00D27" w:rsidRPr="005A7B9E">
        <w:rPr>
          <w:lang w:val="en-GB"/>
        </w:rPr>
        <w:t>(</w:t>
      </w:r>
      <w:r w:rsidR="004B4690" w:rsidRPr="005A7B9E">
        <w:rPr>
          <w:lang w:val="en-GB"/>
        </w:rPr>
        <w:t>s</w:t>
      </w:r>
      <w:r w:rsidR="00F00D27" w:rsidRPr="005A7B9E">
        <w:rPr>
          <w:lang w:val="en-GB"/>
        </w:rPr>
        <w:t>)</w:t>
      </w:r>
      <w:r w:rsidR="004B4690" w:rsidRPr="005A7B9E">
        <w:rPr>
          <w:lang w:val="en-GB"/>
        </w:rPr>
        <w:t xml:space="preserve"> can be </w:t>
      </w:r>
      <w:r w:rsidRPr="005A7B9E">
        <w:rPr>
          <w:lang w:val="en-GB"/>
        </w:rPr>
        <w:t>authorized to act on behalf of the Marketing Authorization Holder:</w:t>
      </w:r>
    </w:p>
    <w:p w14:paraId="7B843D23" w14:textId="165FEDE7" w:rsidR="004B1FC1" w:rsidRPr="005A7B9E" w:rsidRDefault="004B1FC1" w:rsidP="00C14688">
      <w:pPr>
        <w:pStyle w:val="Akapitzlist"/>
        <w:numPr>
          <w:ilvl w:val="0"/>
          <w:numId w:val="19"/>
        </w:numPr>
        <w:spacing w:after="0" w:line="240" w:lineRule="auto"/>
        <w:jc w:val="both"/>
        <w:rPr>
          <w:lang w:val="en-GB"/>
        </w:rPr>
      </w:pPr>
      <w:r w:rsidRPr="005A7B9E">
        <w:rPr>
          <w:lang w:val="en-GB"/>
        </w:rPr>
        <w:t>attorney</w:t>
      </w:r>
      <w:r w:rsidR="00F00D27" w:rsidRPr="005A7B9E">
        <w:rPr>
          <w:lang w:val="en-GB"/>
        </w:rPr>
        <w:t>(</w:t>
      </w:r>
      <w:r w:rsidR="004B4690" w:rsidRPr="005A7B9E">
        <w:rPr>
          <w:lang w:val="en-GB"/>
        </w:rPr>
        <w:t>s</w:t>
      </w:r>
      <w:r w:rsidR="00F00D27" w:rsidRPr="005A7B9E">
        <w:rPr>
          <w:lang w:val="en-GB"/>
        </w:rPr>
        <w:t>)</w:t>
      </w:r>
    </w:p>
    <w:p w14:paraId="1B2A5E1B" w14:textId="7A902CC1" w:rsidR="004B1FC1" w:rsidRPr="005A7B9E" w:rsidRDefault="00363965" w:rsidP="00C14688">
      <w:pPr>
        <w:pStyle w:val="Akapitzlist"/>
        <w:numPr>
          <w:ilvl w:val="0"/>
          <w:numId w:val="19"/>
        </w:numPr>
        <w:spacing w:after="0" w:line="240" w:lineRule="auto"/>
        <w:jc w:val="both"/>
        <w:rPr>
          <w:lang w:val="en-GB"/>
        </w:rPr>
      </w:pPr>
      <w:r w:rsidRPr="005A7B9E">
        <w:rPr>
          <w:lang w:val="en-GB"/>
        </w:rPr>
        <w:t>commercial attorney</w:t>
      </w:r>
      <w:r w:rsidR="00F00D27" w:rsidRPr="005A7B9E">
        <w:rPr>
          <w:lang w:val="en-GB"/>
        </w:rPr>
        <w:t>(</w:t>
      </w:r>
      <w:r w:rsidR="004B4690" w:rsidRPr="005A7B9E">
        <w:rPr>
          <w:lang w:val="en-GB"/>
        </w:rPr>
        <w:t>s</w:t>
      </w:r>
      <w:r w:rsidR="00F00D27" w:rsidRPr="005A7B9E">
        <w:rPr>
          <w:lang w:val="en-GB"/>
        </w:rPr>
        <w:t>)</w:t>
      </w:r>
    </w:p>
    <w:p w14:paraId="7D8EB98B" w14:textId="3C90D81B" w:rsidR="004B1FC1" w:rsidRPr="005A7B9E" w:rsidRDefault="004B1FC1" w:rsidP="00C14688">
      <w:pPr>
        <w:pStyle w:val="Akapitzlist"/>
        <w:numPr>
          <w:ilvl w:val="0"/>
          <w:numId w:val="19"/>
        </w:numPr>
        <w:spacing w:after="0" w:line="240" w:lineRule="auto"/>
        <w:jc w:val="both"/>
        <w:rPr>
          <w:lang w:val="en-GB"/>
        </w:rPr>
      </w:pPr>
      <w:r w:rsidRPr="005A7B9E">
        <w:rPr>
          <w:lang w:val="en-GB"/>
        </w:rPr>
        <w:t>person</w:t>
      </w:r>
      <w:r w:rsidR="00F00D27" w:rsidRPr="005A7B9E">
        <w:rPr>
          <w:lang w:val="en-GB"/>
        </w:rPr>
        <w:t>(</w:t>
      </w:r>
      <w:r w:rsidR="004B4690" w:rsidRPr="005A7B9E">
        <w:rPr>
          <w:lang w:val="en-GB"/>
        </w:rPr>
        <w:t>s</w:t>
      </w:r>
      <w:r w:rsidR="00F00D27" w:rsidRPr="005A7B9E">
        <w:rPr>
          <w:lang w:val="en-GB"/>
        </w:rPr>
        <w:t>)</w:t>
      </w:r>
      <w:r w:rsidRPr="005A7B9E">
        <w:rPr>
          <w:lang w:val="en-GB"/>
        </w:rPr>
        <w:t xml:space="preserve"> indicated in the register of entrepreneurs </w:t>
      </w:r>
      <w:r w:rsidR="004B4690" w:rsidRPr="005A7B9E">
        <w:rPr>
          <w:lang w:val="en-GB"/>
        </w:rPr>
        <w:t xml:space="preserve">as </w:t>
      </w:r>
      <w:r w:rsidRPr="005A7B9E">
        <w:rPr>
          <w:lang w:val="en-GB"/>
        </w:rPr>
        <w:t xml:space="preserve">authorized to represent the </w:t>
      </w:r>
      <w:r w:rsidR="004B4690" w:rsidRPr="005A7B9E">
        <w:rPr>
          <w:lang w:val="en-GB"/>
        </w:rPr>
        <w:t>Marketing Authorization Holder</w:t>
      </w:r>
    </w:p>
    <w:p w14:paraId="4ADC2BFC" w14:textId="77777777" w:rsidR="003146E4" w:rsidRPr="005A7B9E" w:rsidRDefault="003146E4" w:rsidP="00C14688">
      <w:pPr>
        <w:spacing w:after="0" w:line="240" w:lineRule="auto"/>
        <w:jc w:val="both"/>
        <w:rPr>
          <w:lang w:val="en-GB"/>
        </w:rPr>
      </w:pPr>
    </w:p>
    <w:p w14:paraId="1C2F48B4" w14:textId="77777777" w:rsidR="004B1FC1" w:rsidRPr="005A7B9E" w:rsidRDefault="004B1FC1" w:rsidP="00C14688">
      <w:pPr>
        <w:spacing w:after="0" w:line="240" w:lineRule="auto"/>
        <w:jc w:val="both"/>
        <w:rPr>
          <w:lang w:val="en-GB"/>
        </w:rPr>
      </w:pPr>
      <w:r w:rsidRPr="005A7B9E">
        <w:rPr>
          <w:lang w:val="en-GB"/>
        </w:rPr>
        <w:t>If the Marketing Authorisation Holder is represented by an attorney, the application shall be accompanied by a document that provides the power of attorney and an extract from the relevant register of entrepreneurs.</w:t>
      </w:r>
    </w:p>
    <w:p w14:paraId="24114B21" w14:textId="7A7FF02C" w:rsidR="00404908" w:rsidRPr="005A7B9E" w:rsidRDefault="00404908" w:rsidP="00C14688">
      <w:pPr>
        <w:spacing w:after="0" w:line="240" w:lineRule="auto"/>
        <w:jc w:val="both"/>
        <w:rPr>
          <w:lang w:val="en-GB"/>
        </w:rPr>
      </w:pPr>
    </w:p>
    <w:p w14:paraId="46810A5E" w14:textId="1754D838" w:rsidR="004B1FC1" w:rsidRPr="005A7B9E" w:rsidRDefault="004B1FC1" w:rsidP="00C14688">
      <w:pPr>
        <w:spacing w:after="0" w:line="240" w:lineRule="auto"/>
        <w:jc w:val="both"/>
        <w:rPr>
          <w:lang w:val="en-GB"/>
        </w:rPr>
      </w:pPr>
      <w:r w:rsidRPr="005A7B9E">
        <w:rPr>
          <w:lang w:val="en-GB"/>
        </w:rPr>
        <w:t xml:space="preserve">The attorney </w:t>
      </w:r>
      <w:r w:rsidR="00A24F1A" w:rsidRPr="005A7B9E">
        <w:rPr>
          <w:lang w:val="en-GB"/>
        </w:rPr>
        <w:t xml:space="preserve">shall </w:t>
      </w:r>
      <w:r w:rsidRPr="005A7B9E">
        <w:rPr>
          <w:lang w:val="en-GB"/>
        </w:rPr>
        <w:t xml:space="preserve">submit the power of attorney </w:t>
      </w:r>
      <w:r w:rsidR="00A24F1A" w:rsidRPr="005A7B9E">
        <w:rPr>
          <w:lang w:val="en-GB"/>
        </w:rPr>
        <w:t xml:space="preserve">with </w:t>
      </w:r>
      <w:r w:rsidRPr="005A7B9E">
        <w:rPr>
          <w:lang w:val="en-GB"/>
        </w:rPr>
        <w:t xml:space="preserve">the first </w:t>
      </w:r>
      <w:r w:rsidR="00A24F1A" w:rsidRPr="005A7B9E">
        <w:rPr>
          <w:lang w:val="en-GB"/>
        </w:rPr>
        <w:t xml:space="preserve">action taken </w:t>
      </w:r>
      <w:r w:rsidR="00D16014" w:rsidRPr="005A7B9E">
        <w:rPr>
          <w:lang w:val="en-GB"/>
        </w:rPr>
        <w:t xml:space="preserve">in </w:t>
      </w:r>
      <w:r w:rsidR="00A24F1A" w:rsidRPr="005A7B9E">
        <w:rPr>
          <w:lang w:val="en-GB"/>
        </w:rPr>
        <w:t>the procedure</w:t>
      </w:r>
      <w:r w:rsidRPr="005A7B9E">
        <w:rPr>
          <w:lang w:val="en-GB"/>
        </w:rPr>
        <w:t>.</w:t>
      </w:r>
    </w:p>
    <w:p w14:paraId="5F779EE0" w14:textId="77777777" w:rsidR="004B1FC1" w:rsidRPr="005A7B9E" w:rsidRDefault="004B1FC1" w:rsidP="00C14688">
      <w:pPr>
        <w:spacing w:after="0" w:line="240" w:lineRule="auto"/>
        <w:jc w:val="both"/>
        <w:rPr>
          <w:lang w:val="en-GB"/>
        </w:rPr>
      </w:pPr>
    </w:p>
    <w:p w14:paraId="0CA59215" w14:textId="2B78C512" w:rsidR="00A24F1A" w:rsidRPr="005A7B9E" w:rsidRDefault="00A24F1A" w:rsidP="00C14688">
      <w:pPr>
        <w:spacing w:after="0" w:line="240" w:lineRule="auto"/>
        <w:jc w:val="both"/>
        <w:rPr>
          <w:lang w:val="en-GB"/>
        </w:rPr>
      </w:pPr>
      <w:r w:rsidRPr="005A7B9E">
        <w:rPr>
          <w:lang w:val="en-GB"/>
        </w:rPr>
        <w:t>An attorney rep</w:t>
      </w:r>
      <w:r w:rsidR="00C14688" w:rsidRPr="005A7B9E">
        <w:rPr>
          <w:lang w:val="en-GB"/>
        </w:rPr>
        <w:t>resenting the Marketing Authoris</w:t>
      </w:r>
      <w:r w:rsidRPr="005A7B9E">
        <w:rPr>
          <w:lang w:val="en-GB"/>
        </w:rPr>
        <w:t>a</w:t>
      </w:r>
      <w:r w:rsidR="00C14688" w:rsidRPr="005A7B9E">
        <w:rPr>
          <w:lang w:val="en-GB"/>
        </w:rPr>
        <w:t>tion Holder have to</w:t>
      </w:r>
      <w:r w:rsidRPr="005A7B9E">
        <w:rPr>
          <w:lang w:val="en-GB"/>
        </w:rPr>
        <w:t xml:space="preserve"> be a</w:t>
      </w:r>
      <w:r w:rsidR="004B1FC1" w:rsidRPr="005A7B9E">
        <w:rPr>
          <w:lang w:val="en-GB"/>
        </w:rPr>
        <w:t xml:space="preserve"> natural person </w:t>
      </w:r>
      <w:r w:rsidRPr="005A7B9E">
        <w:rPr>
          <w:lang w:val="en-GB"/>
        </w:rPr>
        <w:t xml:space="preserve">with legal </w:t>
      </w:r>
      <w:r w:rsidR="00C14688" w:rsidRPr="005A7B9E">
        <w:rPr>
          <w:lang w:val="en-GB"/>
        </w:rPr>
        <w:t>capacity. The Marketing Authorisation Holder can</w:t>
      </w:r>
      <w:r w:rsidRPr="005A7B9E">
        <w:rPr>
          <w:lang w:val="en-GB"/>
        </w:rPr>
        <w:t xml:space="preserve">not be represented by another company. </w:t>
      </w:r>
    </w:p>
    <w:p w14:paraId="2DCF515D" w14:textId="77777777" w:rsidR="00743F22" w:rsidRPr="005A7B9E" w:rsidRDefault="00743F22" w:rsidP="00C14688">
      <w:pPr>
        <w:spacing w:after="0" w:line="240" w:lineRule="auto"/>
        <w:jc w:val="both"/>
        <w:rPr>
          <w:lang w:val="en-GB"/>
        </w:rPr>
      </w:pPr>
    </w:p>
    <w:p w14:paraId="3F2B63A2" w14:textId="2C7BD9C7" w:rsidR="00A24F1A" w:rsidRPr="005A7B9E" w:rsidRDefault="00A24F1A" w:rsidP="00C14688">
      <w:pPr>
        <w:spacing w:after="0" w:line="240" w:lineRule="auto"/>
        <w:jc w:val="both"/>
        <w:rPr>
          <w:lang w:val="en-GB"/>
        </w:rPr>
      </w:pPr>
      <w:r w:rsidRPr="005A7B9E">
        <w:rPr>
          <w:lang w:val="en-GB"/>
        </w:rPr>
        <w:t>The power of attorney should specify whether or not the attorney is authorized to grant further powers of attorney.</w:t>
      </w:r>
    </w:p>
    <w:p w14:paraId="50BA0593" w14:textId="77777777" w:rsidR="00743F22" w:rsidRPr="005A7B9E" w:rsidRDefault="00743F22" w:rsidP="00C14688">
      <w:pPr>
        <w:spacing w:after="0" w:line="240" w:lineRule="auto"/>
        <w:jc w:val="both"/>
        <w:rPr>
          <w:lang w:val="en-GB"/>
        </w:rPr>
      </w:pPr>
    </w:p>
    <w:p w14:paraId="266D9A3F" w14:textId="196E1C66" w:rsidR="00A24F1A" w:rsidRPr="005A7B9E" w:rsidRDefault="00A24F1A" w:rsidP="00C14688">
      <w:pPr>
        <w:spacing w:after="0" w:line="240" w:lineRule="auto"/>
        <w:jc w:val="both"/>
        <w:rPr>
          <w:lang w:val="en-GB"/>
        </w:rPr>
      </w:pPr>
      <w:r w:rsidRPr="005A7B9E">
        <w:rPr>
          <w:lang w:val="en-GB"/>
        </w:rPr>
        <w:t>The power of attorney may be general (e.g. to act on behalf of the MAH in proceedings regarding medicinal products) or special (e.g. to act on behalf of the MAH in specific proceedings).</w:t>
      </w:r>
    </w:p>
    <w:p w14:paraId="69B751CA" w14:textId="77777777" w:rsidR="003146E4" w:rsidRPr="005A7B9E" w:rsidRDefault="003146E4" w:rsidP="00C14688">
      <w:pPr>
        <w:spacing w:after="0" w:line="240" w:lineRule="auto"/>
        <w:jc w:val="both"/>
        <w:rPr>
          <w:lang w:val="en-GB"/>
        </w:rPr>
      </w:pPr>
    </w:p>
    <w:p w14:paraId="2385CA48" w14:textId="7B953138" w:rsidR="009E0491" w:rsidRPr="005A7B9E" w:rsidRDefault="009E0491" w:rsidP="00C14688">
      <w:pPr>
        <w:spacing w:after="0" w:line="240" w:lineRule="auto"/>
        <w:jc w:val="both"/>
        <w:rPr>
          <w:lang w:val="en-GB"/>
        </w:rPr>
      </w:pPr>
      <w:r w:rsidRPr="005A7B9E">
        <w:rPr>
          <w:lang w:val="en-GB"/>
        </w:rPr>
        <w:lastRenderedPageBreak/>
        <w:t xml:space="preserve">The extract from the register of entrepreneurs should specify the person(s) authorized to represent the Marketing Authorisation Holder and to grant the power of attorney. If the power of attorney has been signed by a person who </w:t>
      </w:r>
      <w:r w:rsidR="00A24847" w:rsidRPr="005A7B9E">
        <w:rPr>
          <w:lang w:val="en-GB"/>
        </w:rPr>
        <w:t xml:space="preserve">does </w:t>
      </w:r>
      <w:r w:rsidRPr="005A7B9E">
        <w:rPr>
          <w:lang w:val="en-GB"/>
        </w:rPr>
        <w:t xml:space="preserve">not </w:t>
      </w:r>
      <w:r w:rsidR="00A24847" w:rsidRPr="005A7B9E">
        <w:rPr>
          <w:lang w:val="en-GB"/>
        </w:rPr>
        <w:t xml:space="preserve">appear </w:t>
      </w:r>
      <w:r w:rsidRPr="005A7B9E">
        <w:rPr>
          <w:lang w:val="en-GB"/>
        </w:rPr>
        <w:t>in the extract from the register of entrepreneurs, the application shall be accompanied by a power of attorney for the person signing the power of attorney.</w:t>
      </w:r>
    </w:p>
    <w:p w14:paraId="11E9D998" w14:textId="77777777" w:rsidR="00404908" w:rsidRPr="005A7B9E" w:rsidRDefault="00404908" w:rsidP="00C14688">
      <w:pPr>
        <w:spacing w:after="0" w:line="240" w:lineRule="auto"/>
        <w:jc w:val="both"/>
        <w:rPr>
          <w:lang w:val="en-GB"/>
        </w:rPr>
      </w:pPr>
    </w:p>
    <w:p w14:paraId="2F282436" w14:textId="58E7B26F" w:rsidR="009E0491" w:rsidRPr="005A7B9E" w:rsidRDefault="009E0491" w:rsidP="00C14688">
      <w:pPr>
        <w:spacing w:after="0" w:line="240" w:lineRule="auto"/>
        <w:jc w:val="both"/>
        <w:rPr>
          <w:lang w:val="en-GB"/>
        </w:rPr>
      </w:pPr>
      <w:r w:rsidRPr="005A7B9E">
        <w:rPr>
          <w:lang w:val="en-GB"/>
        </w:rPr>
        <w:t xml:space="preserve">If the Marketing Authorization Holder acts through </w:t>
      </w:r>
      <w:r w:rsidR="00A24847" w:rsidRPr="005A7B9E">
        <w:rPr>
          <w:lang w:val="en-GB"/>
        </w:rPr>
        <w:t xml:space="preserve">a </w:t>
      </w:r>
      <w:r w:rsidR="00363965" w:rsidRPr="005A7B9E">
        <w:rPr>
          <w:lang w:val="en-GB"/>
        </w:rPr>
        <w:t>commercial attorney</w:t>
      </w:r>
      <w:r w:rsidRPr="005A7B9E">
        <w:rPr>
          <w:lang w:val="en-GB"/>
        </w:rPr>
        <w:t>, the application should be accompanied by an extract from the relevant register of entrepreneurs. See also section 4.</w:t>
      </w:r>
    </w:p>
    <w:p w14:paraId="0CDEE190" w14:textId="77777777" w:rsidR="00DB3046" w:rsidRPr="005A7B9E" w:rsidRDefault="00DB3046" w:rsidP="00C14688">
      <w:pPr>
        <w:spacing w:after="0" w:line="240" w:lineRule="auto"/>
        <w:jc w:val="both"/>
        <w:rPr>
          <w:lang w:val="en-GB"/>
        </w:rPr>
      </w:pPr>
    </w:p>
    <w:p w14:paraId="788D0157" w14:textId="0331D668" w:rsidR="009E0491" w:rsidRPr="005A7B9E" w:rsidRDefault="005A7B9E" w:rsidP="00C14688">
      <w:pPr>
        <w:spacing w:after="0" w:line="240" w:lineRule="auto"/>
        <w:jc w:val="both"/>
        <w:rPr>
          <w:lang w:val="en-GB"/>
        </w:rPr>
      </w:pPr>
      <w:r>
        <w:rPr>
          <w:lang w:val="en-GB"/>
        </w:rPr>
        <w:t>If the Marketing Authoris</w:t>
      </w:r>
      <w:r w:rsidR="009E0491" w:rsidRPr="005A7B9E">
        <w:rPr>
          <w:lang w:val="en-GB"/>
        </w:rPr>
        <w:t>ation Holder is represented by a person or persons indicated in the register of entrepreneurs as authorized to represent the MAH, the application should be accompanied by an extract from the relevant register of entrepreneurs.</w:t>
      </w:r>
    </w:p>
    <w:p w14:paraId="68E1F2C5" w14:textId="43F02570" w:rsidR="00DB3046" w:rsidRPr="005A7B9E" w:rsidRDefault="00DB3046" w:rsidP="00C14688">
      <w:pPr>
        <w:spacing w:after="0" w:line="240" w:lineRule="auto"/>
        <w:jc w:val="both"/>
        <w:rPr>
          <w:lang w:val="en-GB"/>
        </w:rPr>
      </w:pPr>
    </w:p>
    <w:p w14:paraId="4A421E97" w14:textId="797C9B81" w:rsidR="00AA3A50" w:rsidRDefault="009E0491" w:rsidP="00C14688">
      <w:pPr>
        <w:spacing w:after="0" w:line="240" w:lineRule="auto"/>
        <w:jc w:val="both"/>
        <w:rPr>
          <w:lang w:val="en-GB"/>
        </w:rPr>
      </w:pPr>
      <w:r w:rsidRPr="005A7B9E">
        <w:rPr>
          <w:lang w:val="en-GB"/>
        </w:rPr>
        <w:t>The rules for submitting documents from the register of entrepreneurs are laid out in a separate document.</w:t>
      </w:r>
    </w:p>
    <w:p w14:paraId="5D0D2A87" w14:textId="77777777" w:rsidR="00A96CA5" w:rsidRPr="005A7B9E" w:rsidRDefault="00A96CA5" w:rsidP="00C14688">
      <w:pPr>
        <w:spacing w:after="0" w:line="240" w:lineRule="auto"/>
        <w:jc w:val="both"/>
        <w:rPr>
          <w:lang w:val="en-GB"/>
        </w:rPr>
      </w:pPr>
    </w:p>
    <w:p w14:paraId="492B91EE" w14:textId="5A2B351E" w:rsidR="00750DB3" w:rsidRPr="005A7B9E" w:rsidRDefault="000B2D7D" w:rsidP="00C14688">
      <w:pPr>
        <w:pStyle w:val="Akapitzlist"/>
        <w:numPr>
          <w:ilvl w:val="0"/>
          <w:numId w:val="12"/>
        </w:numPr>
        <w:spacing w:after="0" w:line="240" w:lineRule="auto"/>
        <w:jc w:val="both"/>
        <w:rPr>
          <w:b/>
          <w:lang w:val="en-GB"/>
        </w:rPr>
      </w:pPr>
      <w:r w:rsidRPr="005A7B9E">
        <w:rPr>
          <w:b/>
          <w:lang w:val="en-GB"/>
        </w:rPr>
        <w:t xml:space="preserve">The form and </w:t>
      </w:r>
      <w:r w:rsidR="004610EA">
        <w:rPr>
          <w:b/>
          <w:lang w:val="en-GB"/>
        </w:rPr>
        <w:t>format of the power of attorney.</w:t>
      </w:r>
    </w:p>
    <w:p w14:paraId="66818B4C" w14:textId="77777777" w:rsidR="000B2D7D" w:rsidRPr="005A7B9E" w:rsidRDefault="000B2D7D" w:rsidP="00C14688">
      <w:pPr>
        <w:pStyle w:val="Akapitzlist"/>
        <w:spacing w:after="0" w:line="240" w:lineRule="auto"/>
        <w:ind w:left="340"/>
        <w:jc w:val="both"/>
        <w:rPr>
          <w:b/>
          <w:lang w:val="en-GB"/>
        </w:rPr>
      </w:pPr>
    </w:p>
    <w:p w14:paraId="4F728998" w14:textId="51F58A67" w:rsidR="000B2D7D" w:rsidRPr="005A7B9E" w:rsidRDefault="000B2D7D" w:rsidP="00C14688">
      <w:pPr>
        <w:spacing w:after="0" w:line="240" w:lineRule="auto"/>
        <w:jc w:val="both"/>
        <w:rPr>
          <w:lang w:val="en-GB"/>
        </w:rPr>
      </w:pPr>
      <w:r w:rsidRPr="005A7B9E">
        <w:rPr>
          <w:lang w:val="en-GB"/>
        </w:rPr>
        <w:t xml:space="preserve">The power of attorney should be granted in writing and submitted </w:t>
      </w:r>
      <w:r w:rsidR="00E97F97" w:rsidRPr="005A7B9E">
        <w:rPr>
          <w:lang w:val="en-GB"/>
        </w:rPr>
        <w:t>as</w:t>
      </w:r>
      <w:r w:rsidRPr="005A7B9E">
        <w:rPr>
          <w:lang w:val="en-GB"/>
        </w:rPr>
        <w:t>:</w:t>
      </w:r>
    </w:p>
    <w:p w14:paraId="78155D23" w14:textId="21F0A9D4" w:rsidR="000B2D7D" w:rsidRPr="00E26898" w:rsidRDefault="000B2D7D" w:rsidP="00E26898">
      <w:pPr>
        <w:pStyle w:val="Akapitzlist"/>
        <w:numPr>
          <w:ilvl w:val="0"/>
          <w:numId w:val="21"/>
        </w:numPr>
        <w:spacing w:after="0" w:line="240" w:lineRule="auto"/>
        <w:jc w:val="both"/>
        <w:rPr>
          <w:lang w:val="en-GB"/>
        </w:rPr>
      </w:pPr>
      <w:r w:rsidRPr="00E26898">
        <w:rPr>
          <w:lang w:val="en-GB"/>
        </w:rPr>
        <w:t>electronic document signed with a qualified electronic signature, trusted signature or personal signature</w:t>
      </w:r>
      <w:r w:rsidR="00E26898" w:rsidRPr="00E26898">
        <w:rPr>
          <w:lang w:val="en-GB"/>
        </w:rPr>
        <w:t>, or</w:t>
      </w:r>
    </w:p>
    <w:p w14:paraId="243C284D" w14:textId="3D12CEAF" w:rsidR="000B2D7D" w:rsidRPr="00E26898" w:rsidRDefault="000B2D7D" w:rsidP="00E26898">
      <w:pPr>
        <w:pStyle w:val="Akapitzlist"/>
        <w:numPr>
          <w:ilvl w:val="0"/>
          <w:numId w:val="21"/>
        </w:numPr>
        <w:spacing w:after="0" w:line="240" w:lineRule="auto"/>
        <w:jc w:val="both"/>
        <w:rPr>
          <w:lang w:val="en-GB"/>
        </w:rPr>
      </w:pPr>
      <w:r w:rsidRPr="00E26898">
        <w:rPr>
          <w:lang w:val="en-GB"/>
        </w:rPr>
        <w:t>hard-copy document signed with a handwritten signature.</w:t>
      </w:r>
    </w:p>
    <w:p w14:paraId="303A89A3" w14:textId="77777777" w:rsidR="000B2D7D" w:rsidRPr="005A7B9E" w:rsidRDefault="000B2D7D" w:rsidP="00C14688">
      <w:pPr>
        <w:spacing w:after="0" w:line="240" w:lineRule="auto"/>
        <w:jc w:val="both"/>
        <w:rPr>
          <w:lang w:val="en-GB"/>
        </w:rPr>
      </w:pPr>
    </w:p>
    <w:p w14:paraId="1A7E9228" w14:textId="79E350E1" w:rsidR="00E232C3" w:rsidRPr="005A7B9E" w:rsidRDefault="008B6468" w:rsidP="00C14688">
      <w:pPr>
        <w:spacing w:after="0" w:line="240" w:lineRule="auto"/>
        <w:jc w:val="both"/>
        <w:rPr>
          <w:lang w:val="en-GB"/>
        </w:rPr>
      </w:pPr>
      <w:r w:rsidRPr="005A7B9E">
        <w:rPr>
          <w:lang w:val="en-GB"/>
        </w:rPr>
        <w:t xml:space="preserve">The attorney shall submit original </w:t>
      </w:r>
      <w:r w:rsidR="006C21C0" w:rsidRPr="005A7B9E">
        <w:rPr>
          <w:lang w:val="en-GB"/>
        </w:rPr>
        <w:t xml:space="preserve">power of attorney or </w:t>
      </w:r>
      <w:r w:rsidRPr="005A7B9E">
        <w:rPr>
          <w:lang w:val="en-GB"/>
        </w:rPr>
        <w:t xml:space="preserve">official copy </w:t>
      </w:r>
      <w:r w:rsidR="006C21C0" w:rsidRPr="005A7B9E">
        <w:rPr>
          <w:lang w:val="en-GB"/>
        </w:rPr>
        <w:t>thereof</w:t>
      </w:r>
      <w:r w:rsidRPr="005A7B9E">
        <w:rPr>
          <w:lang w:val="en-GB"/>
        </w:rPr>
        <w:t>.</w:t>
      </w:r>
    </w:p>
    <w:p w14:paraId="2598C5C4" w14:textId="77777777" w:rsidR="003146E4" w:rsidRPr="005A7B9E" w:rsidRDefault="003146E4" w:rsidP="00C14688">
      <w:pPr>
        <w:spacing w:after="0" w:line="240" w:lineRule="auto"/>
        <w:jc w:val="both"/>
        <w:rPr>
          <w:lang w:val="en-GB"/>
        </w:rPr>
      </w:pPr>
    </w:p>
    <w:p w14:paraId="4438EE58" w14:textId="1BDE5860" w:rsidR="008B6468" w:rsidRPr="005A7B9E" w:rsidRDefault="008B6468" w:rsidP="00C14688">
      <w:pPr>
        <w:spacing w:after="0" w:line="240" w:lineRule="auto"/>
        <w:jc w:val="both"/>
        <w:rPr>
          <w:lang w:val="en-GB"/>
        </w:rPr>
      </w:pPr>
      <w:r w:rsidRPr="005A7B9E">
        <w:rPr>
          <w:lang w:val="en-GB"/>
        </w:rPr>
        <w:t>A copy of the power of attorney may be certified by:</w:t>
      </w:r>
    </w:p>
    <w:p w14:paraId="00F61444" w14:textId="494CB846" w:rsidR="008B6468" w:rsidRPr="005A7B9E" w:rsidRDefault="006C21C0" w:rsidP="00E26898">
      <w:pPr>
        <w:pStyle w:val="Akapitzlist"/>
        <w:numPr>
          <w:ilvl w:val="0"/>
          <w:numId w:val="23"/>
        </w:numPr>
        <w:spacing w:after="0" w:line="240" w:lineRule="auto"/>
        <w:jc w:val="both"/>
        <w:rPr>
          <w:lang w:val="en-GB"/>
        </w:rPr>
      </w:pPr>
      <w:r w:rsidRPr="005A7B9E">
        <w:rPr>
          <w:lang w:val="en-GB"/>
        </w:rPr>
        <w:t>n</w:t>
      </w:r>
      <w:r w:rsidR="008B6468" w:rsidRPr="005A7B9E">
        <w:rPr>
          <w:lang w:val="en-GB"/>
        </w:rPr>
        <w:t>otary public</w:t>
      </w:r>
      <w:r w:rsidR="005C3EC6" w:rsidRPr="005A7B9E">
        <w:rPr>
          <w:lang w:val="en-GB"/>
        </w:rPr>
        <w:t>;</w:t>
      </w:r>
    </w:p>
    <w:p w14:paraId="35B01D94" w14:textId="2D1A0027" w:rsidR="005B1C7B" w:rsidRPr="005A7B9E" w:rsidRDefault="008B6468" w:rsidP="00E26898">
      <w:pPr>
        <w:pStyle w:val="Akapitzlist"/>
        <w:numPr>
          <w:ilvl w:val="0"/>
          <w:numId w:val="23"/>
        </w:numPr>
        <w:spacing w:after="0" w:line="240" w:lineRule="auto"/>
        <w:jc w:val="both"/>
        <w:rPr>
          <w:lang w:val="en-GB"/>
        </w:rPr>
      </w:pPr>
      <w:r w:rsidRPr="005A7B9E">
        <w:rPr>
          <w:lang w:val="en-GB"/>
        </w:rPr>
        <w:t>lawyer, legal advisor, patent attorney, tax advisor, if the power of attorney has been issued for these persons.</w:t>
      </w:r>
    </w:p>
    <w:p w14:paraId="7ACDCE03" w14:textId="77777777" w:rsidR="005B1C7B" w:rsidRPr="005A7B9E" w:rsidRDefault="005B1C7B" w:rsidP="00C14688">
      <w:pPr>
        <w:spacing w:after="0" w:line="240" w:lineRule="auto"/>
        <w:jc w:val="both"/>
        <w:rPr>
          <w:lang w:val="en-GB"/>
        </w:rPr>
      </w:pPr>
    </w:p>
    <w:p w14:paraId="315EED6D" w14:textId="740BAA3B" w:rsidR="008B6468" w:rsidRPr="005A7B9E" w:rsidRDefault="008B6468" w:rsidP="00C14688">
      <w:pPr>
        <w:spacing w:after="0" w:line="240" w:lineRule="auto"/>
        <w:jc w:val="both"/>
        <w:rPr>
          <w:lang w:val="en-GB"/>
        </w:rPr>
      </w:pPr>
      <w:r w:rsidRPr="005A7B9E">
        <w:rPr>
          <w:lang w:val="en-GB"/>
        </w:rPr>
        <w:t xml:space="preserve">A copy of the document may be </w:t>
      </w:r>
      <w:r w:rsidR="005C3EC6" w:rsidRPr="005A7B9E">
        <w:rPr>
          <w:lang w:val="en-GB"/>
        </w:rPr>
        <w:t xml:space="preserve">submitted as </w:t>
      </w:r>
      <w:r w:rsidRPr="005A7B9E">
        <w:rPr>
          <w:lang w:val="en-GB"/>
        </w:rPr>
        <w:t xml:space="preserve">electronic document signed with a qualified electronic signature, trusted signature or personal signature, or as </w:t>
      </w:r>
      <w:r w:rsidR="005C3EC6" w:rsidRPr="005A7B9E">
        <w:rPr>
          <w:lang w:val="en-GB"/>
        </w:rPr>
        <w:t xml:space="preserve">a </w:t>
      </w:r>
      <w:r w:rsidRPr="005A7B9E">
        <w:rPr>
          <w:lang w:val="en-GB"/>
        </w:rPr>
        <w:t>hard-copy document signed with a handwritten signature.</w:t>
      </w:r>
    </w:p>
    <w:p w14:paraId="787CB3D4" w14:textId="77777777" w:rsidR="00882765" w:rsidRPr="005A7B9E" w:rsidRDefault="00882765" w:rsidP="00C14688">
      <w:pPr>
        <w:spacing w:after="0" w:line="240" w:lineRule="auto"/>
        <w:jc w:val="both"/>
        <w:rPr>
          <w:lang w:val="en-GB"/>
        </w:rPr>
      </w:pPr>
    </w:p>
    <w:p w14:paraId="21F6D0CC" w14:textId="7234C5B3" w:rsidR="008B6468" w:rsidRPr="005A7B9E" w:rsidRDefault="008B6468" w:rsidP="00C14688">
      <w:pPr>
        <w:spacing w:after="0" w:line="240" w:lineRule="auto"/>
        <w:jc w:val="both"/>
        <w:rPr>
          <w:lang w:val="en-GB"/>
        </w:rPr>
      </w:pPr>
      <w:r w:rsidRPr="005A7B9E">
        <w:rPr>
          <w:lang w:val="en-GB"/>
        </w:rPr>
        <w:t>Documents signed with an electronic signature (qualified, trusted, personal) should be submitted in electronic form.</w:t>
      </w:r>
    </w:p>
    <w:p w14:paraId="07169B7B" w14:textId="77777777" w:rsidR="003146E4" w:rsidRPr="005A7B9E" w:rsidRDefault="003146E4" w:rsidP="00C14688">
      <w:pPr>
        <w:spacing w:after="0" w:line="240" w:lineRule="auto"/>
        <w:jc w:val="both"/>
        <w:rPr>
          <w:lang w:val="en-GB"/>
        </w:rPr>
      </w:pPr>
    </w:p>
    <w:p w14:paraId="44EA151C" w14:textId="455539E5" w:rsidR="00E529EF" w:rsidRPr="005A7B9E" w:rsidRDefault="008B6468" w:rsidP="00C14688">
      <w:pPr>
        <w:spacing w:after="0" w:line="240" w:lineRule="auto"/>
        <w:jc w:val="both"/>
        <w:rPr>
          <w:lang w:val="en-GB"/>
        </w:rPr>
      </w:pPr>
      <w:r w:rsidRPr="005A7B9E">
        <w:rPr>
          <w:lang w:val="en-GB"/>
        </w:rPr>
        <w:t xml:space="preserve">Documents signed with a handwritten signature (originals) should be </w:t>
      </w:r>
      <w:r w:rsidR="00585B41">
        <w:rPr>
          <w:lang w:val="en-GB"/>
        </w:rPr>
        <w:t>submitted</w:t>
      </w:r>
      <w:r w:rsidRPr="005A7B9E">
        <w:rPr>
          <w:lang w:val="en-GB"/>
        </w:rPr>
        <w:t xml:space="preserve"> in hard copy.</w:t>
      </w:r>
    </w:p>
    <w:p w14:paraId="719ADC95" w14:textId="77777777" w:rsidR="00A96CA5" w:rsidRPr="005A7B9E" w:rsidRDefault="00A96CA5" w:rsidP="00C14688">
      <w:pPr>
        <w:spacing w:after="0" w:line="240" w:lineRule="auto"/>
        <w:jc w:val="both"/>
        <w:rPr>
          <w:lang w:val="en-GB"/>
        </w:rPr>
      </w:pPr>
    </w:p>
    <w:p w14:paraId="1F826C35" w14:textId="00DAEAE6" w:rsidR="003146E4" w:rsidRPr="005A7B9E" w:rsidRDefault="00565354" w:rsidP="00C14688">
      <w:pPr>
        <w:pStyle w:val="Akapitzlist"/>
        <w:numPr>
          <w:ilvl w:val="0"/>
          <w:numId w:val="12"/>
        </w:numPr>
        <w:spacing w:after="0" w:line="240" w:lineRule="auto"/>
        <w:jc w:val="both"/>
        <w:rPr>
          <w:b/>
          <w:lang w:val="en-GB"/>
        </w:rPr>
      </w:pPr>
      <w:r w:rsidRPr="005A7B9E">
        <w:rPr>
          <w:b/>
          <w:lang w:val="en-GB"/>
        </w:rPr>
        <w:t>The power of attorney should be in Polish</w:t>
      </w:r>
      <w:r w:rsidR="004610EA">
        <w:rPr>
          <w:b/>
          <w:lang w:val="en-GB"/>
        </w:rPr>
        <w:t>.</w:t>
      </w:r>
    </w:p>
    <w:p w14:paraId="697DEDFD" w14:textId="77777777" w:rsidR="003146E4" w:rsidRPr="005A7B9E" w:rsidRDefault="003146E4" w:rsidP="00C14688">
      <w:pPr>
        <w:spacing w:after="0" w:line="240" w:lineRule="auto"/>
        <w:jc w:val="both"/>
        <w:rPr>
          <w:lang w:val="en-GB"/>
        </w:rPr>
      </w:pPr>
    </w:p>
    <w:p w14:paraId="03192B25" w14:textId="30EA15E3" w:rsidR="003146E4" w:rsidRPr="005A7B9E" w:rsidRDefault="00565354" w:rsidP="00C14688">
      <w:pPr>
        <w:spacing w:after="0" w:line="240" w:lineRule="auto"/>
        <w:jc w:val="both"/>
        <w:rPr>
          <w:lang w:val="en-GB"/>
        </w:rPr>
      </w:pPr>
      <w:r w:rsidRPr="005A7B9E">
        <w:rPr>
          <w:rFonts w:cstheme="minorHAnsi"/>
          <w:lang w:val="en-GB"/>
        </w:rPr>
        <w:t xml:space="preserve">If the power of attorney is made in a language other than Polish or English, </w:t>
      </w:r>
      <w:r w:rsidR="00410EE6">
        <w:rPr>
          <w:rFonts w:cstheme="minorHAnsi"/>
          <w:lang w:val="en-GB"/>
        </w:rPr>
        <w:t>such document</w:t>
      </w:r>
      <w:r w:rsidR="005C3EC6" w:rsidRPr="005A7B9E">
        <w:rPr>
          <w:rFonts w:cstheme="minorHAnsi"/>
          <w:lang w:val="en-GB"/>
        </w:rPr>
        <w:t xml:space="preserve"> </w:t>
      </w:r>
      <w:r w:rsidRPr="005A7B9E">
        <w:rPr>
          <w:rFonts w:cstheme="minorHAnsi"/>
          <w:lang w:val="en-GB"/>
        </w:rPr>
        <w:t>must be accompanied by a translation into Polish. The translation should be certified by a sworn translator</w:t>
      </w:r>
      <w:r w:rsidR="003146E4" w:rsidRPr="005A7B9E">
        <w:rPr>
          <w:lang w:val="en-GB"/>
        </w:rPr>
        <w:t xml:space="preserve"> </w:t>
      </w:r>
      <w:r w:rsidR="0020186B" w:rsidRPr="005A7B9E">
        <w:rPr>
          <w:lang w:val="en-GB"/>
        </w:rPr>
        <w:t>(original or official copy of the translation).</w:t>
      </w:r>
    </w:p>
    <w:p w14:paraId="71B96E82" w14:textId="77777777" w:rsidR="0020186B" w:rsidRPr="005A7B9E" w:rsidRDefault="0020186B" w:rsidP="00C14688">
      <w:pPr>
        <w:spacing w:after="0" w:line="240" w:lineRule="auto"/>
        <w:jc w:val="both"/>
        <w:rPr>
          <w:lang w:val="en-GB"/>
        </w:rPr>
      </w:pPr>
    </w:p>
    <w:p w14:paraId="2B8A179F" w14:textId="1BCF031B" w:rsidR="0020186B" w:rsidRPr="005A7B9E" w:rsidRDefault="0020186B" w:rsidP="00C14688">
      <w:pPr>
        <w:spacing w:after="0" w:line="240" w:lineRule="auto"/>
        <w:jc w:val="both"/>
        <w:rPr>
          <w:lang w:val="en-GB"/>
        </w:rPr>
      </w:pPr>
      <w:r w:rsidRPr="005A7B9E">
        <w:rPr>
          <w:lang w:val="en-GB"/>
        </w:rPr>
        <w:t xml:space="preserve">The Polish translation of the power of attorney may be submitted </w:t>
      </w:r>
      <w:r w:rsidR="005C3EC6" w:rsidRPr="005A7B9E">
        <w:rPr>
          <w:lang w:val="en-GB"/>
        </w:rPr>
        <w:t>as</w:t>
      </w:r>
      <w:r w:rsidRPr="005A7B9E">
        <w:rPr>
          <w:lang w:val="en-GB"/>
        </w:rPr>
        <w:t>:</w:t>
      </w:r>
    </w:p>
    <w:p w14:paraId="6BB8F172" w14:textId="18C4C5BB" w:rsidR="0020186B" w:rsidRPr="00410EE6" w:rsidRDefault="0020186B" w:rsidP="00410EE6">
      <w:pPr>
        <w:pStyle w:val="Akapitzlist"/>
        <w:numPr>
          <w:ilvl w:val="0"/>
          <w:numId w:val="24"/>
        </w:numPr>
        <w:spacing w:after="0" w:line="240" w:lineRule="auto"/>
        <w:jc w:val="both"/>
        <w:rPr>
          <w:lang w:val="en-GB"/>
        </w:rPr>
      </w:pPr>
      <w:r w:rsidRPr="00410EE6">
        <w:rPr>
          <w:lang w:val="en-GB"/>
        </w:rPr>
        <w:t>electronic document with a qualified electronic signature of a sworn translator,</w:t>
      </w:r>
    </w:p>
    <w:p w14:paraId="544DE438" w14:textId="6FC9391D" w:rsidR="0020186B" w:rsidRPr="00410EE6" w:rsidRDefault="0020186B" w:rsidP="00410EE6">
      <w:pPr>
        <w:pStyle w:val="Akapitzlist"/>
        <w:numPr>
          <w:ilvl w:val="0"/>
          <w:numId w:val="24"/>
        </w:numPr>
        <w:spacing w:after="0" w:line="240" w:lineRule="auto"/>
        <w:jc w:val="both"/>
        <w:rPr>
          <w:lang w:val="en-GB"/>
        </w:rPr>
      </w:pPr>
      <w:r w:rsidRPr="00410EE6">
        <w:rPr>
          <w:lang w:val="en-GB"/>
        </w:rPr>
        <w:t>hard-copy document with a handwritten signature of a sworn translator.</w:t>
      </w:r>
    </w:p>
    <w:p w14:paraId="04C9A663" w14:textId="77777777" w:rsidR="003146E4" w:rsidRPr="005A7B9E" w:rsidRDefault="003146E4" w:rsidP="00C14688">
      <w:pPr>
        <w:spacing w:after="0" w:line="240" w:lineRule="auto"/>
        <w:jc w:val="both"/>
        <w:rPr>
          <w:lang w:val="en-GB"/>
        </w:rPr>
      </w:pPr>
    </w:p>
    <w:p w14:paraId="6E900DA7" w14:textId="47D67BC0" w:rsidR="0020186B" w:rsidRPr="00700445" w:rsidRDefault="0020186B" w:rsidP="00C14688">
      <w:pPr>
        <w:spacing w:after="0" w:line="240" w:lineRule="auto"/>
        <w:jc w:val="both"/>
        <w:rPr>
          <w:lang w:val="en-GB"/>
        </w:rPr>
      </w:pPr>
      <w:r w:rsidRPr="005A7B9E">
        <w:rPr>
          <w:lang w:val="en-GB"/>
        </w:rPr>
        <w:t xml:space="preserve">It is acceptable to submit a power of attorney drawn up in two languages </w:t>
      </w:r>
      <w:r w:rsidR="005C3EC6" w:rsidRPr="005A7B9E">
        <w:rPr>
          <w:lang w:val="en-GB"/>
        </w:rPr>
        <w:t>–</w:t>
      </w:r>
      <w:r w:rsidRPr="005A7B9E">
        <w:rPr>
          <w:lang w:val="en-GB"/>
        </w:rPr>
        <w:t xml:space="preserve"> Polish and foreign (one document containing two language versions of the power of attorney).</w:t>
      </w:r>
    </w:p>
    <w:p w14:paraId="2A70F7CC" w14:textId="3FA52411" w:rsidR="00256C61" w:rsidRPr="005A7B9E" w:rsidRDefault="0020186B" w:rsidP="00C14688">
      <w:pPr>
        <w:pStyle w:val="Akapitzlist"/>
        <w:numPr>
          <w:ilvl w:val="0"/>
          <w:numId w:val="12"/>
        </w:numPr>
        <w:spacing w:after="0" w:line="240" w:lineRule="auto"/>
        <w:jc w:val="both"/>
        <w:rPr>
          <w:rFonts w:cstheme="minorHAnsi"/>
          <w:b/>
          <w:lang w:val="en-GB"/>
        </w:rPr>
      </w:pPr>
      <w:r w:rsidRPr="005A7B9E">
        <w:rPr>
          <w:rFonts w:cstheme="minorHAnsi"/>
          <w:b/>
          <w:lang w:val="en-GB"/>
        </w:rPr>
        <w:lastRenderedPageBreak/>
        <w:t>The power of attorney or commercial power of attorney shall be accompanied by a</w:t>
      </w:r>
      <w:r w:rsidR="004610EA">
        <w:rPr>
          <w:rFonts w:cstheme="minorHAnsi"/>
          <w:b/>
          <w:lang w:val="en-GB"/>
        </w:rPr>
        <w:t xml:space="preserve"> proof of payment of stamp duty.</w:t>
      </w:r>
    </w:p>
    <w:p w14:paraId="46CD74CD" w14:textId="42003E95" w:rsidR="0020186B" w:rsidRPr="005A7B9E" w:rsidRDefault="0020186B" w:rsidP="00C14688">
      <w:pPr>
        <w:pStyle w:val="Akapitzlist"/>
        <w:spacing w:after="0" w:line="240" w:lineRule="auto"/>
        <w:ind w:left="340"/>
        <w:jc w:val="both"/>
        <w:rPr>
          <w:rFonts w:cstheme="minorHAnsi"/>
          <w:b/>
          <w:lang w:val="en-GB"/>
        </w:rPr>
      </w:pPr>
    </w:p>
    <w:p w14:paraId="5BDB9531" w14:textId="588F77DD" w:rsidR="00E2327D" w:rsidRPr="005A7B9E" w:rsidRDefault="00E2327D" w:rsidP="00C14688">
      <w:pPr>
        <w:spacing w:after="0" w:line="240" w:lineRule="auto"/>
        <w:jc w:val="both"/>
        <w:rPr>
          <w:rFonts w:cstheme="minorHAnsi"/>
          <w:lang w:val="en-GB"/>
        </w:rPr>
      </w:pPr>
      <w:r w:rsidRPr="005A7B9E">
        <w:rPr>
          <w:rFonts w:cstheme="minorHAnsi"/>
          <w:lang w:val="en-GB"/>
        </w:rPr>
        <w:t>Stamp duty shall be charged for submission of a power of attorney, commercial power of attorney or extract, excerpt or copy thereof.</w:t>
      </w:r>
    </w:p>
    <w:p w14:paraId="417146D5" w14:textId="77777777" w:rsidR="007A5398" w:rsidRPr="005A7B9E" w:rsidRDefault="007A5398" w:rsidP="00C14688">
      <w:pPr>
        <w:spacing w:after="0" w:line="240" w:lineRule="auto"/>
        <w:jc w:val="both"/>
        <w:rPr>
          <w:rFonts w:cstheme="minorHAnsi"/>
          <w:lang w:val="en-GB"/>
        </w:rPr>
      </w:pPr>
    </w:p>
    <w:p w14:paraId="58FBC222" w14:textId="1700A598" w:rsidR="007A5398" w:rsidRPr="005A7B9E" w:rsidRDefault="00E2327D" w:rsidP="00C14688">
      <w:pPr>
        <w:spacing w:after="0" w:line="240" w:lineRule="auto"/>
        <w:jc w:val="both"/>
        <w:rPr>
          <w:rFonts w:cstheme="minorHAnsi"/>
          <w:lang w:val="en-GB"/>
        </w:rPr>
      </w:pPr>
      <w:r w:rsidRPr="005A7B9E">
        <w:rPr>
          <w:rFonts w:cstheme="minorHAnsi"/>
          <w:lang w:val="en-GB"/>
        </w:rPr>
        <w:t>The stamp duty is PLN 17 for each power of attorney (commercial power of attorney).</w:t>
      </w:r>
    </w:p>
    <w:p w14:paraId="5E9B06D7" w14:textId="7C623F7E" w:rsidR="00E2327D" w:rsidRPr="005A7B9E" w:rsidRDefault="00E2327D" w:rsidP="00C14688">
      <w:pPr>
        <w:spacing w:after="0" w:line="240" w:lineRule="auto"/>
        <w:jc w:val="both"/>
        <w:rPr>
          <w:rFonts w:cstheme="minorHAnsi"/>
          <w:lang w:val="en-GB"/>
        </w:rPr>
      </w:pPr>
    </w:p>
    <w:p w14:paraId="602AB95C" w14:textId="0DFDBEDC" w:rsidR="00E2327D" w:rsidRPr="005A7B9E" w:rsidRDefault="00EE0D3C" w:rsidP="00C14688">
      <w:pPr>
        <w:spacing w:after="0" w:line="240" w:lineRule="auto"/>
        <w:jc w:val="both"/>
        <w:rPr>
          <w:rFonts w:cstheme="minorHAnsi"/>
          <w:lang w:val="en-GB"/>
        </w:rPr>
      </w:pPr>
      <w:r w:rsidRPr="005A7B9E">
        <w:rPr>
          <w:rFonts w:cstheme="minorHAnsi"/>
          <w:lang w:val="en-GB"/>
        </w:rPr>
        <w:t xml:space="preserve">If more than one person is granted the power of attorney </w:t>
      </w:r>
      <w:r w:rsidR="005C3EC6" w:rsidRPr="005A7B9E">
        <w:rPr>
          <w:rFonts w:cstheme="minorHAnsi"/>
          <w:lang w:val="en-GB"/>
        </w:rPr>
        <w:t xml:space="preserve">under </w:t>
      </w:r>
      <w:r w:rsidRPr="005A7B9E">
        <w:rPr>
          <w:rFonts w:cstheme="minorHAnsi"/>
          <w:lang w:val="en-GB"/>
        </w:rPr>
        <w:t>a single document, the stamp duty shall be a multiple of PLN 17 (e.g. number of persons x PLN 17).</w:t>
      </w:r>
    </w:p>
    <w:p w14:paraId="135F1181" w14:textId="77777777" w:rsidR="007A5398" w:rsidRPr="005A7B9E" w:rsidRDefault="007A5398" w:rsidP="00C14688">
      <w:pPr>
        <w:spacing w:after="0" w:line="240" w:lineRule="auto"/>
        <w:jc w:val="both"/>
        <w:rPr>
          <w:rFonts w:cstheme="minorHAnsi"/>
          <w:lang w:val="en-GB"/>
        </w:rPr>
      </w:pPr>
    </w:p>
    <w:p w14:paraId="4AFE7DB3" w14:textId="4AE02BF8" w:rsidR="007A5398" w:rsidRPr="005A7B9E" w:rsidRDefault="0073116B" w:rsidP="00C14688">
      <w:pPr>
        <w:spacing w:after="0" w:line="240" w:lineRule="auto"/>
        <w:jc w:val="both"/>
        <w:rPr>
          <w:lang w:val="en-GB"/>
        </w:rPr>
      </w:pPr>
      <w:r w:rsidRPr="005A7B9E">
        <w:rPr>
          <w:lang w:val="en-GB"/>
        </w:rPr>
        <w:t xml:space="preserve">If the Marketing Authorisation Holder acts </w:t>
      </w:r>
      <w:r w:rsidR="00C71785" w:rsidRPr="005A7B9E">
        <w:rPr>
          <w:lang w:val="en-GB"/>
        </w:rPr>
        <w:t xml:space="preserve">through </w:t>
      </w:r>
      <w:r w:rsidR="005C3EC6" w:rsidRPr="005A7B9E">
        <w:rPr>
          <w:lang w:val="en-GB"/>
        </w:rPr>
        <w:t xml:space="preserve">a </w:t>
      </w:r>
      <w:r w:rsidR="00C71785" w:rsidRPr="005A7B9E">
        <w:rPr>
          <w:lang w:val="en-GB"/>
        </w:rPr>
        <w:t xml:space="preserve">commercial attorney, </w:t>
      </w:r>
      <w:r w:rsidR="005C3EC6" w:rsidRPr="005A7B9E">
        <w:rPr>
          <w:lang w:val="en-GB"/>
        </w:rPr>
        <w:t xml:space="preserve">a </w:t>
      </w:r>
      <w:r w:rsidR="00C71785" w:rsidRPr="005A7B9E">
        <w:rPr>
          <w:lang w:val="en-GB"/>
        </w:rPr>
        <w:t xml:space="preserve">stamp duty shall be charged for </w:t>
      </w:r>
      <w:r w:rsidRPr="005A7B9E">
        <w:rPr>
          <w:lang w:val="en-GB"/>
        </w:rPr>
        <w:t xml:space="preserve">submission of </w:t>
      </w:r>
      <w:r w:rsidR="00C71785" w:rsidRPr="005A7B9E">
        <w:rPr>
          <w:lang w:val="en-GB"/>
        </w:rPr>
        <w:t>the document providing the commercial power of attorney</w:t>
      </w:r>
      <w:r w:rsidRPr="005A7B9E">
        <w:rPr>
          <w:lang w:val="en-GB"/>
        </w:rPr>
        <w:t xml:space="preserve"> i.e. an extract from the register of entrepreneurs. The stamp duty </w:t>
      </w:r>
      <w:r w:rsidR="000F61CC" w:rsidRPr="005A7B9E">
        <w:rPr>
          <w:lang w:val="en-GB"/>
        </w:rPr>
        <w:t xml:space="preserve">applies </w:t>
      </w:r>
      <w:r w:rsidRPr="005A7B9E">
        <w:rPr>
          <w:lang w:val="en-GB"/>
        </w:rPr>
        <w:t xml:space="preserve">for </w:t>
      </w:r>
      <w:r w:rsidR="00C71785" w:rsidRPr="005A7B9E">
        <w:rPr>
          <w:lang w:val="en-GB"/>
        </w:rPr>
        <w:t xml:space="preserve">the commercial representation relationship </w:t>
      </w:r>
      <w:r w:rsidRPr="005A7B9E">
        <w:rPr>
          <w:lang w:val="en-GB"/>
        </w:rPr>
        <w:t xml:space="preserve">which is </w:t>
      </w:r>
      <w:r w:rsidR="00C71785" w:rsidRPr="005A7B9E">
        <w:rPr>
          <w:lang w:val="en-GB"/>
        </w:rPr>
        <w:t xml:space="preserve">expressed </w:t>
      </w:r>
      <w:r w:rsidRPr="005A7B9E">
        <w:rPr>
          <w:lang w:val="en-GB"/>
        </w:rPr>
        <w:t xml:space="preserve">by submitting the </w:t>
      </w:r>
      <w:r w:rsidR="00C71785" w:rsidRPr="005A7B9E">
        <w:rPr>
          <w:lang w:val="en-GB"/>
        </w:rPr>
        <w:t xml:space="preserve">document confirming commercial power of attorney </w:t>
      </w:r>
      <w:r w:rsidRPr="005A7B9E">
        <w:rPr>
          <w:lang w:val="en-GB"/>
        </w:rPr>
        <w:t>(the amount of the stamp duty</w:t>
      </w:r>
      <w:r w:rsidR="00C71785" w:rsidRPr="005A7B9E">
        <w:rPr>
          <w:lang w:val="en-GB"/>
        </w:rPr>
        <w:t xml:space="preserve"> </w:t>
      </w:r>
      <w:r w:rsidRPr="005A7B9E">
        <w:rPr>
          <w:lang w:val="en-GB"/>
        </w:rPr>
        <w:t xml:space="preserve">does not depend on the number of </w:t>
      </w:r>
      <w:r w:rsidR="00C71785" w:rsidRPr="005A7B9E">
        <w:rPr>
          <w:lang w:val="en-GB"/>
        </w:rPr>
        <w:t xml:space="preserve">commercial attorneys entered </w:t>
      </w:r>
      <w:r w:rsidRPr="005A7B9E">
        <w:rPr>
          <w:lang w:val="en-GB"/>
        </w:rPr>
        <w:t xml:space="preserve">in the register). The submission of an </w:t>
      </w:r>
      <w:r w:rsidR="00C71785" w:rsidRPr="005A7B9E">
        <w:rPr>
          <w:lang w:val="en-GB"/>
        </w:rPr>
        <w:t xml:space="preserve">extract </w:t>
      </w:r>
      <w:r w:rsidRPr="005A7B9E">
        <w:rPr>
          <w:lang w:val="en-GB"/>
        </w:rPr>
        <w:t xml:space="preserve">from the register of entrepreneurs is subject to a fee only when the document is submitted in order to </w:t>
      </w:r>
      <w:r w:rsidR="00C71785" w:rsidRPr="005A7B9E">
        <w:rPr>
          <w:lang w:val="en-GB"/>
        </w:rPr>
        <w:t xml:space="preserve">demonstrate </w:t>
      </w:r>
      <w:r w:rsidR="000849FF" w:rsidRPr="005A7B9E">
        <w:rPr>
          <w:lang w:val="en-GB"/>
        </w:rPr>
        <w:t xml:space="preserve">that </w:t>
      </w:r>
      <w:r w:rsidRPr="005A7B9E">
        <w:rPr>
          <w:lang w:val="en-GB"/>
        </w:rPr>
        <w:t xml:space="preserve">the </w:t>
      </w:r>
      <w:r w:rsidR="00C71785" w:rsidRPr="005A7B9E">
        <w:rPr>
          <w:lang w:val="en-GB"/>
        </w:rPr>
        <w:t xml:space="preserve">power </w:t>
      </w:r>
      <w:r w:rsidR="000849FF" w:rsidRPr="005A7B9E">
        <w:rPr>
          <w:lang w:val="en-GB"/>
        </w:rPr>
        <w:t xml:space="preserve">of attorney was granted to a person </w:t>
      </w:r>
      <w:r w:rsidRPr="005A7B9E">
        <w:rPr>
          <w:lang w:val="en-GB"/>
        </w:rPr>
        <w:t xml:space="preserve">to act in the </w:t>
      </w:r>
      <w:r w:rsidR="000849FF" w:rsidRPr="005A7B9E">
        <w:rPr>
          <w:lang w:val="en-GB"/>
        </w:rPr>
        <w:t>case concerned</w:t>
      </w:r>
      <w:r w:rsidRPr="005A7B9E">
        <w:rPr>
          <w:lang w:val="en-GB"/>
        </w:rPr>
        <w:t>.</w:t>
      </w:r>
    </w:p>
    <w:p w14:paraId="0A243A33" w14:textId="77777777" w:rsidR="000849FF" w:rsidRPr="005A7B9E" w:rsidRDefault="000849FF" w:rsidP="00C14688">
      <w:pPr>
        <w:spacing w:after="0" w:line="240" w:lineRule="auto"/>
        <w:jc w:val="both"/>
        <w:rPr>
          <w:lang w:val="en-GB"/>
        </w:rPr>
      </w:pPr>
    </w:p>
    <w:p w14:paraId="2C44D7F5" w14:textId="29C99273" w:rsidR="000849FF" w:rsidRPr="005A7B9E" w:rsidRDefault="000F61CC" w:rsidP="00C14688">
      <w:pPr>
        <w:spacing w:after="0" w:line="240" w:lineRule="auto"/>
        <w:jc w:val="both"/>
        <w:rPr>
          <w:rFonts w:cstheme="minorHAnsi"/>
          <w:lang w:val="en-GB"/>
        </w:rPr>
      </w:pPr>
      <w:r w:rsidRPr="005A7B9E">
        <w:rPr>
          <w:rFonts w:cstheme="minorHAnsi"/>
          <w:lang w:val="en-GB"/>
        </w:rPr>
        <w:t xml:space="preserve">For </w:t>
      </w:r>
      <w:r w:rsidR="000849FF" w:rsidRPr="005A7B9E">
        <w:rPr>
          <w:rFonts w:cstheme="minorHAnsi"/>
          <w:lang w:val="en-GB"/>
        </w:rPr>
        <w:t>a joint power of attorney or a joint commercial power of attorney, the fee is PLN 17 per document providing the (commercial) power of attorney.</w:t>
      </w:r>
    </w:p>
    <w:p w14:paraId="681DAE50" w14:textId="77777777" w:rsidR="000849FF" w:rsidRPr="005A7B9E" w:rsidRDefault="000849FF" w:rsidP="00C14688">
      <w:pPr>
        <w:spacing w:after="0" w:line="240" w:lineRule="auto"/>
        <w:jc w:val="both"/>
        <w:rPr>
          <w:rFonts w:cstheme="minorHAnsi"/>
          <w:lang w:val="en-GB"/>
        </w:rPr>
      </w:pPr>
    </w:p>
    <w:p w14:paraId="55B52ADF" w14:textId="558B8C26" w:rsidR="000849FF" w:rsidRPr="005A7B9E" w:rsidRDefault="000F61CC" w:rsidP="00C14688">
      <w:pPr>
        <w:spacing w:after="0" w:line="240" w:lineRule="auto"/>
        <w:jc w:val="both"/>
        <w:rPr>
          <w:rFonts w:cstheme="minorHAnsi"/>
          <w:lang w:val="en-GB"/>
        </w:rPr>
      </w:pPr>
      <w:r w:rsidRPr="005A7B9E">
        <w:rPr>
          <w:rFonts w:cstheme="minorHAnsi"/>
          <w:lang w:val="en-GB"/>
        </w:rPr>
        <w:t xml:space="preserve">For a </w:t>
      </w:r>
      <w:r w:rsidR="000849FF" w:rsidRPr="005A7B9E">
        <w:rPr>
          <w:rFonts w:cstheme="minorHAnsi"/>
          <w:lang w:val="en-GB"/>
        </w:rPr>
        <w:t xml:space="preserve">substitute power of attorney, stamp duty is charged for submitting </w:t>
      </w:r>
      <w:r w:rsidRPr="005A7B9E">
        <w:rPr>
          <w:rFonts w:cstheme="minorHAnsi"/>
          <w:lang w:val="en-GB"/>
        </w:rPr>
        <w:t xml:space="preserve">the </w:t>
      </w:r>
      <w:r w:rsidR="000849FF" w:rsidRPr="005A7B9E">
        <w:rPr>
          <w:rFonts w:cstheme="minorHAnsi"/>
          <w:lang w:val="en-GB"/>
        </w:rPr>
        <w:t>power of attorney on the basis of which the attorney will act in the case concerned.</w:t>
      </w:r>
    </w:p>
    <w:p w14:paraId="223A97DD" w14:textId="77777777" w:rsidR="000849FF" w:rsidRPr="005A7B9E" w:rsidRDefault="000849FF" w:rsidP="00C14688">
      <w:pPr>
        <w:spacing w:after="0" w:line="240" w:lineRule="auto"/>
        <w:jc w:val="both"/>
        <w:rPr>
          <w:rFonts w:cstheme="minorHAnsi"/>
          <w:lang w:val="en-GB"/>
        </w:rPr>
      </w:pPr>
    </w:p>
    <w:p w14:paraId="23E42624" w14:textId="7C70825C" w:rsidR="000849FF" w:rsidRPr="005A7B9E" w:rsidRDefault="000F61CC" w:rsidP="00C14688">
      <w:pPr>
        <w:spacing w:after="0" w:line="240" w:lineRule="auto"/>
        <w:jc w:val="both"/>
        <w:rPr>
          <w:rFonts w:cstheme="minorHAnsi"/>
          <w:lang w:val="en-GB"/>
        </w:rPr>
      </w:pPr>
      <w:r w:rsidRPr="005A7B9E">
        <w:rPr>
          <w:rFonts w:cstheme="minorHAnsi"/>
          <w:lang w:val="en-GB"/>
        </w:rPr>
        <w:t>A s</w:t>
      </w:r>
      <w:r w:rsidR="000849FF" w:rsidRPr="005A7B9E">
        <w:rPr>
          <w:rFonts w:cstheme="minorHAnsi"/>
          <w:lang w:val="en-GB"/>
        </w:rPr>
        <w:t xml:space="preserve">tamp duty </w:t>
      </w:r>
      <w:r w:rsidRPr="005A7B9E">
        <w:rPr>
          <w:rFonts w:cstheme="minorHAnsi"/>
          <w:lang w:val="en-GB"/>
        </w:rPr>
        <w:t xml:space="preserve">should be </w:t>
      </w:r>
      <w:r w:rsidR="000849FF" w:rsidRPr="005A7B9E">
        <w:rPr>
          <w:rFonts w:cstheme="minorHAnsi"/>
          <w:lang w:val="en-GB"/>
        </w:rPr>
        <w:t xml:space="preserve">paid to the </w:t>
      </w:r>
      <w:r w:rsidR="00871773" w:rsidRPr="005A7B9E">
        <w:rPr>
          <w:rFonts w:cstheme="minorHAnsi"/>
          <w:lang w:val="en-GB"/>
        </w:rPr>
        <w:t xml:space="preserve">bank </w:t>
      </w:r>
      <w:r w:rsidR="000849FF" w:rsidRPr="005A7B9E">
        <w:rPr>
          <w:rFonts w:cstheme="minorHAnsi"/>
          <w:lang w:val="en-GB"/>
        </w:rPr>
        <w:t xml:space="preserve">account of the competent tax authority (Warsaw City Hall; </w:t>
      </w:r>
      <w:r w:rsidR="00871773" w:rsidRPr="005A7B9E">
        <w:rPr>
          <w:rFonts w:cstheme="minorHAnsi"/>
          <w:lang w:val="en-GB"/>
        </w:rPr>
        <w:t xml:space="preserve">for </w:t>
      </w:r>
      <w:r w:rsidR="000849FF" w:rsidRPr="005A7B9E">
        <w:rPr>
          <w:rFonts w:cstheme="minorHAnsi"/>
          <w:lang w:val="en-GB"/>
        </w:rPr>
        <w:t xml:space="preserve">more information </w:t>
      </w:r>
      <w:r w:rsidR="00871773" w:rsidRPr="005A7B9E">
        <w:rPr>
          <w:rFonts w:cstheme="minorHAnsi"/>
          <w:lang w:val="en-GB"/>
        </w:rPr>
        <w:t>please visit</w:t>
      </w:r>
      <w:r w:rsidR="000849FF" w:rsidRPr="005A7B9E">
        <w:rPr>
          <w:rFonts w:cstheme="minorHAnsi"/>
          <w:lang w:val="en-GB"/>
        </w:rPr>
        <w:t xml:space="preserve">: </w:t>
      </w:r>
      <w:hyperlink r:id="rId7" w:history="1">
        <w:r w:rsidR="005D5691" w:rsidRPr="00125ECD">
          <w:rPr>
            <w:rStyle w:val="Hipercze"/>
            <w:rFonts w:cstheme="minorHAnsi"/>
            <w:lang w:val="en-GB"/>
          </w:rPr>
          <w:t>http://www.urpl.gov.pl/pl/o</w:t>
        </w:r>
        <w:r w:rsidR="005D5691" w:rsidRPr="00125ECD">
          <w:rPr>
            <w:rStyle w:val="Hipercze"/>
            <w:rFonts w:cstheme="minorHAnsi"/>
            <w:lang w:val="en-GB"/>
          </w:rPr>
          <w:t>p</w:t>
        </w:r>
        <w:r w:rsidR="005D5691" w:rsidRPr="00125ECD">
          <w:rPr>
            <w:rStyle w:val="Hipercze"/>
            <w:rFonts w:cstheme="minorHAnsi"/>
            <w:lang w:val="en-GB"/>
          </w:rPr>
          <w:t>łaty</w:t>
        </w:r>
      </w:hyperlink>
      <w:r w:rsidR="000849FF" w:rsidRPr="005A7B9E">
        <w:rPr>
          <w:rFonts w:cstheme="minorHAnsi"/>
          <w:lang w:val="en-GB"/>
        </w:rPr>
        <w:t>).</w:t>
      </w:r>
    </w:p>
    <w:p w14:paraId="4ADF0F92" w14:textId="77777777" w:rsidR="00256C61" w:rsidRDefault="00256C61" w:rsidP="00C14688">
      <w:pPr>
        <w:spacing w:after="0" w:line="240" w:lineRule="auto"/>
        <w:jc w:val="both"/>
        <w:rPr>
          <w:rFonts w:cstheme="minorHAnsi"/>
          <w:lang w:val="en-GB"/>
        </w:rPr>
      </w:pPr>
    </w:p>
    <w:p w14:paraId="0346093F" w14:textId="77777777" w:rsidR="005D5691" w:rsidRPr="005A7B9E" w:rsidRDefault="005D5691" w:rsidP="00C14688">
      <w:pPr>
        <w:spacing w:after="0" w:line="240" w:lineRule="auto"/>
        <w:jc w:val="both"/>
        <w:rPr>
          <w:rFonts w:cstheme="minorHAnsi"/>
          <w:lang w:val="en-GB"/>
        </w:rPr>
      </w:pPr>
    </w:p>
    <w:p w14:paraId="300345E5" w14:textId="77777777" w:rsidR="00871773" w:rsidRPr="005A7B9E" w:rsidRDefault="00871773" w:rsidP="00C14688">
      <w:pPr>
        <w:spacing w:after="0" w:line="240" w:lineRule="auto"/>
        <w:jc w:val="both"/>
        <w:rPr>
          <w:rFonts w:cstheme="minorHAnsi"/>
          <w:b/>
          <w:lang w:val="en-GB"/>
        </w:rPr>
      </w:pPr>
      <w:r w:rsidRPr="005A7B9E">
        <w:rPr>
          <w:rFonts w:cstheme="minorHAnsi"/>
          <w:b/>
          <w:lang w:val="en-GB"/>
        </w:rPr>
        <w:t>European procedures</w:t>
      </w:r>
    </w:p>
    <w:p w14:paraId="089D30A5" w14:textId="77777777" w:rsidR="00871773" w:rsidRPr="005A7B9E" w:rsidRDefault="00871773" w:rsidP="00C14688">
      <w:pPr>
        <w:spacing w:after="0" w:line="240" w:lineRule="auto"/>
        <w:jc w:val="both"/>
        <w:rPr>
          <w:rFonts w:cstheme="minorHAnsi"/>
          <w:b/>
          <w:lang w:val="en-GB"/>
        </w:rPr>
      </w:pPr>
    </w:p>
    <w:p w14:paraId="115FE43D" w14:textId="4E34971E" w:rsidR="00871773" w:rsidRPr="005A7B9E" w:rsidRDefault="00554FCC" w:rsidP="00C14688">
      <w:pPr>
        <w:spacing w:after="0" w:line="240" w:lineRule="auto"/>
        <w:contextualSpacing/>
        <w:jc w:val="both"/>
        <w:rPr>
          <w:rFonts w:cstheme="minorHAnsi"/>
          <w:b/>
          <w:lang w:val="en-GB"/>
        </w:rPr>
      </w:pPr>
      <w:r>
        <w:rPr>
          <w:rFonts w:cstheme="minorHAnsi"/>
          <w:b/>
          <w:lang w:val="en-GB"/>
        </w:rPr>
        <w:t>I. Procedures concern</w:t>
      </w:r>
      <w:r w:rsidR="00871773" w:rsidRPr="005A7B9E">
        <w:rPr>
          <w:rFonts w:cstheme="minorHAnsi"/>
          <w:b/>
          <w:lang w:val="en-GB"/>
        </w:rPr>
        <w:t>ing:</w:t>
      </w:r>
    </w:p>
    <w:p w14:paraId="26C3B7C7" w14:textId="12E57257" w:rsidR="00871773" w:rsidRPr="005A7B9E" w:rsidRDefault="00871773" w:rsidP="00C14688">
      <w:pPr>
        <w:pStyle w:val="Akapitzlist"/>
        <w:numPr>
          <w:ilvl w:val="0"/>
          <w:numId w:val="3"/>
        </w:numPr>
        <w:spacing w:after="0" w:line="240" w:lineRule="auto"/>
        <w:jc w:val="both"/>
        <w:rPr>
          <w:rFonts w:cstheme="minorHAnsi"/>
          <w:lang w:val="en-GB"/>
        </w:rPr>
      </w:pPr>
      <w:r w:rsidRPr="005A7B9E">
        <w:rPr>
          <w:rFonts w:cstheme="minorHAnsi"/>
          <w:lang w:val="en-GB"/>
        </w:rPr>
        <w:t>va</w:t>
      </w:r>
      <w:r w:rsidR="00700445">
        <w:rPr>
          <w:rFonts w:cstheme="minorHAnsi"/>
          <w:lang w:val="en-GB"/>
        </w:rPr>
        <w:t>riations pursuant to Article 31</w:t>
      </w:r>
      <w:r w:rsidRPr="005A7B9E">
        <w:rPr>
          <w:rFonts w:cstheme="minorHAnsi"/>
          <w:lang w:val="en-GB"/>
        </w:rPr>
        <w:t xml:space="preserve">(1c) of the Pharmaceutical Law (the so-called </w:t>
      </w:r>
      <w:r w:rsidR="00554FCC">
        <w:rPr>
          <w:rFonts w:cstheme="minorHAnsi"/>
          <w:lang w:val="en-GB"/>
        </w:rPr>
        <w:t>‘</w:t>
      </w:r>
      <w:r w:rsidRPr="00554FCC">
        <w:rPr>
          <w:rFonts w:cstheme="minorHAnsi"/>
          <w:i/>
          <w:lang w:val="en-GB"/>
        </w:rPr>
        <w:t>notifications</w:t>
      </w:r>
      <w:r w:rsidR="00554FCC">
        <w:rPr>
          <w:rFonts w:cstheme="minorHAnsi"/>
          <w:lang w:val="en-GB"/>
        </w:rPr>
        <w:t>’</w:t>
      </w:r>
      <w:r w:rsidRPr="005A7B9E">
        <w:rPr>
          <w:rFonts w:cstheme="minorHAnsi"/>
          <w:lang w:val="en-GB"/>
        </w:rPr>
        <w:t>)</w:t>
      </w:r>
    </w:p>
    <w:p w14:paraId="3D6E08F0" w14:textId="384F4344" w:rsidR="00871773" w:rsidRPr="005A7B9E" w:rsidRDefault="00871773" w:rsidP="00C14688">
      <w:pPr>
        <w:pStyle w:val="Akapitzlist"/>
        <w:numPr>
          <w:ilvl w:val="0"/>
          <w:numId w:val="3"/>
        </w:numPr>
        <w:spacing w:after="0" w:line="240" w:lineRule="auto"/>
        <w:jc w:val="both"/>
        <w:rPr>
          <w:rFonts w:cstheme="minorHAnsi"/>
          <w:lang w:val="en-GB"/>
        </w:rPr>
      </w:pPr>
      <w:r w:rsidRPr="005A7B9E">
        <w:rPr>
          <w:rFonts w:cstheme="minorHAnsi"/>
          <w:lang w:val="en-GB"/>
        </w:rPr>
        <w:t>change of the Marketing Authorisation Holder (Article 32 of the Pharmaceutical Law)</w:t>
      </w:r>
    </w:p>
    <w:p w14:paraId="4159A924" w14:textId="53D468A9" w:rsidR="00871773" w:rsidRPr="005A7B9E" w:rsidRDefault="00871773" w:rsidP="00C14688">
      <w:pPr>
        <w:pStyle w:val="Akapitzlist"/>
        <w:numPr>
          <w:ilvl w:val="0"/>
          <w:numId w:val="3"/>
        </w:numPr>
        <w:spacing w:after="0" w:line="240" w:lineRule="auto"/>
        <w:jc w:val="both"/>
        <w:rPr>
          <w:rFonts w:cstheme="minorHAnsi"/>
          <w:lang w:val="en-GB"/>
        </w:rPr>
      </w:pPr>
      <w:r w:rsidRPr="005A7B9E">
        <w:rPr>
          <w:rFonts w:cstheme="minorHAnsi"/>
          <w:lang w:val="en-GB"/>
        </w:rPr>
        <w:t>change of the decision pursuant to Article 155 of the Act of 14 June 1960 Code of Administrative Procedure</w:t>
      </w:r>
    </w:p>
    <w:p w14:paraId="27BAAEA2" w14:textId="08BBCD92" w:rsidR="00871773" w:rsidRPr="005A7B9E" w:rsidRDefault="00554FCC" w:rsidP="00C14688">
      <w:pPr>
        <w:pStyle w:val="Akapitzlist"/>
        <w:numPr>
          <w:ilvl w:val="0"/>
          <w:numId w:val="3"/>
        </w:numPr>
        <w:spacing w:after="0" w:line="240" w:lineRule="auto"/>
        <w:jc w:val="both"/>
        <w:rPr>
          <w:rFonts w:cstheme="minorHAnsi"/>
          <w:lang w:val="en-GB"/>
        </w:rPr>
      </w:pPr>
      <w:r>
        <w:rPr>
          <w:rFonts w:cstheme="minorHAnsi"/>
          <w:lang w:val="en-GB"/>
        </w:rPr>
        <w:t>withdrawal of a marketing authorisation</w:t>
      </w:r>
    </w:p>
    <w:p w14:paraId="3FCA4D8D" w14:textId="6AF03628" w:rsidR="00871773" w:rsidRPr="005A7B9E" w:rsidRDefault="00871773" w:rsidP="00C14688">
      <w:pPr>
        <w:pStyle w:val="Akapitzlist"/>
        <w:numPr>
          <w:ilvl w:val="0"/>
          <w:numId w:val="3"/>
        </w:numPr>
        <w:spacing w:after="0" w:line="240" w:lineRule="auto"/>
        <w:jc w:val="both"/>
        <w:rPr>
          <w:rFonts w:cstheme="minorHAnsi"/>
          <w:lang w:val="en-GB"/>
        </w:rPr>
      </w:pPr>
      <w:r w:rsidRPr="005A7B9E">
        <w:rPr>
          <w:rFonts w:cstheme="minorHAnsi"/>
          <w:lang w:val="en-GB"/>
        </w:rPr>
        <w:t>other post</w:t>
      </w:r>
      <w:r w:rsidR="000F61CC" w:rsidRPr="005A7B9E">
        <w:rPr>
          <w:rFonts w:cstheme="minorHAnsi"/>
          <w:lang w:val="en-GB"/>
        </w:rPr>
        <w:t>-</w:t>
      </w:r>
      <w:r w:rsidRPr="005A7B9E">
        <w:rPr>
          <w:rFonts w:cstheme="minorHAnsi"/>
          <w:lang w:val="en-GB"/>
        </w:rPr>
        <w:t xml:space="preserve">approval procedures related to </w:t>
      </w:r>
      <w:r w:rsidR="00554FCC">
        <w:rPr>
          <w:rFonts w:cstheme="minorHAnsi"/>
          <w:lang w:val="en-GB"/>
        </w:rPr>
        <w:t xml:space="preserve">a marketing authorisation, made </w:t>
      </w:r>
      <w:r w:rsidRPr="005A7B9E">
        <w:rPr>
          <w:rFonts w:cstheme="minorHAnsi"/>
          <w:lang w:val="en-GB"/>
        </w:rPr>
        <w:t>on a national level</w:t>
      </w:r>
    </w:p>
    <w:p w14:paraId="17E1F5E1" w14:textId="565FFC52" w:rsidR="00871773" w:rsidRPr="005A7B9E" w:rsidRDefault="00871773" w:rsidP="00C14688">
      <w:pPr>
        <w:spacing w:after="0" w:line="240" w:lineRule="auto"/>
        <w:jc w:val="both"/>
        <w:rPr>
          <w:rFonts w:cstheme="minorHAnsi"/>
          <w:b/>
          <w:lang w:val="en-GB"/>
        </w:rPr>
      </w:pPr>
    </w:p>
    <w:p w14:paraId="07FF4F2E" w14:textId="479DBA8D" w:rsidR="00871773" w:rsidRPr="00554FCC" w:rsidRDefault="00554FCC" w:rsidP="00554FCC">
      <w:pPr>
        <w:spacing w:after="0" w:line="240" w:lineRule="auto"/>
        <w:jc w:val="both"/>
        <w:rPr>
          <w:rFonts w:cstheme="minorHAnsi"/>
          <w:lang w:val="en-GB"/>
        </w:rPr>
      </w:pPr>
      <w:r>
        <w:rPr>
          <w:rFonts w:cstheme="minorHAnsi"/>
          <w:lang w:val="en-GB"/>
        </w:rPr>
        <w:t xml:space="preserve">- </w:t>
      </w:r>
      <w:r w:rsidR="00871773" w:rsidRPr="00554FCC">
        <w:rPr>
          <w:rFonts w:cstheme="minorHAnsi"/>
          <w:lang w:val="en-GB"/>
        </w:rPr>
        <w:t>the rules governing the foregoing procedures are the same as in the national procedure.</w:t>
      </w:r>
    </w:p>
    <w:p w14:paraId="628BBADC" w14:textId="77777777" w:rsidR="00700445" w:rsidRPr="005A7B9E" w:rsidRDefault="00700445" w:rsidP="00C14688">
      <w:pPr>
        <w:spacing w:after="0" w:line="240" w:lineRule="auto"/>
        <w:jc w:val="both"/>
        <w:rPr>
          <w:rFonts w:cstheme="minorHAnsi"/>
          <w:b/>
          <w:lang w:val="en-GB"/>
        </w:rPr>
      </w:pPr>
    </w:p>
    <w:p w14:paraId="56CB6F86" w14:textId="65B37DB2" w:rsidR="00871773" w:rsidRPr="005A7B9E" w:rsidRDefault="00554FCC" w:rsidP="00C14688">
      <w:pPr>
        <w:spacing w:after="0" w:line="240" w:lineRule="auto"/>
        <w:contextualSpacing/>
        <w:jc w:val="both"/>
        <w:rPr>
          <w:rFonts w:cstheme="minorHAnsi"/>
          <w:b/>
          <w:lang w:val="en-GB"/>
        </w:rPr>
      </w:pPr>
      <w:r>
        <w:rPr>
          <w:rFonts w:cstheme="minorHAnsi"/>
          <w:b/>
          <w:lang w:val="en-GB"/>
        </w:rPr>
        <w:t>II. Procedures concern</w:t>
      </w:r>
      <w:r w:rsidR="00871773" w:rsidRPr="005A7B9E">
        <w:rPr>
          <w:rFonts w:cstheme="minorHAnsi"/>
          <w:b/>
          <w:lang w:val="en-GB"/>
        </w:rPr>
        <w:t>ing:</w:t>
      </w:r>
    </w:p>
    <w:p w14:paraId="55823F1F" w14:textId="70C6DC0B" w:rsidR="00871773" w:rsidRPr="005A7B9E" w:rsidRDefault="00871773" w:rsidP="00C14688">
      <w:pPr>
        <w:pStyle w:val="Akapitzlist"/>
        <w:numPr>
          <w:ilvl w:val="0"/>
          <w:numId w:val="3"/>
        </w:numPr>
        <w:spacing w:after="0" w:line="240" w:lineRule="auto"/>
        <w:jc w:val="both"/>
        <w:rPr>
          <w:rFonts w:cstheme="minorHAnsi"/>
          <w:lang w:val="en-GB"/>
        </w:rPr>
      </w:pPr>
      <w:r w:rsidRPr="005A7B9E">
        <w:rPr>
          <w:rFonts w:cstheme="minorHAnsi"/>
          <w:lang w:val="en-GB"/>
        </w:rPr>
        <w:t>variations to marketing authorisation and marketing author</w:t>
      </w:r>
      <w:r w:rsidR="00554FCC">
        <w:rPr>
          <w:rFonts w:cstheme="minorHAnsi"/>
          <w:lang w:val="en-GB"/>
        </w:rPr>
        <w:t>isation dossier</w:t>
      </w:r>
      <w:r w:rsidRPr="005A7B9E">
        <w:rPr>
          <w:rFonts w:cstheme="minorHAnsi"/>
          <w:lang w:val="en-GB"/>
        </w:rPr>
        <w:t xml:space="preserve"> pursuant to Commission Regulation (EC) No 1234/2008 </w:t>
      </w:r>
      <w:r w:rsidR="00700445">
        <w:rPr>
          <w:rFonts w:cstheme="minorHAnsi"/>
          <w:lang w:val="en-GB"/>
        </w:rPr>
        <w:t xml:space="preserve">of 24 November 2008 </w:t>
      </w:r>
      <w:r w:rsidR="00554FCC">
        <w:rPr>
          <w:rFonts w:cstheme="minorHAnsi"/>
          <w:lang w:val="en-GB"/>
        </w:rPr>
        <w:t>concerning</w:t>
      </w:r>
      <w:r w:rsidRPr="005A7B9E">
        <w:rPr>
          <w:rFonts w:cstheme="minorHAnsi"/>
          <w:lang w:val="en-GB"/>
        </w:rPr>
        <w:t xml:space="preserve"> the examination of variations to the terms of marketing authorizations for medicinal products for human use and veterinary medicinal products</w:t>
      </w:r>
      <w:r w:rsidR="000F61CC" w:rsidRPr="005A7B9E">
        <w:rPr>
          <w:rFonts w:cstheme="minorHAnsi"/>
          <w:lang w:val="en-GB"/>
        </w:rPr>
        <w:t>;</w:t>
      </w:r>
    </w:p>
    <w:p w14:paraId="00BC6122" w14:textId="4717A2A1" w:rsidR="00871773" w:rsidRPr="005A7B9E" w:rsidRDefault="00871773" w:rsidP="00C14688">
      <w:pPr>
        <w:pStyle w:val="Akapitzlist"/>
        <w:numPr>
          <w:ilvl w:val="0"/>
          <w:numId w:val="3"/>
        </w:numPr>
        <w:spacing w:after="0" w:line="240" w:lineRule="auto"/>
        <w:jc w:val="both"/>
        <w:rPr>
          <w:rFonts w:cstheme="minorHAnsi"/>
          <w:lang w:val="en-GB"/>
        </w:rPr>
      </w:pPr>
      <w:r w:rsidRPr="005A7B9E">
        <w:rPr>
          <w:rFonts w:cstheme="minorHAnsi"/>
          <w:lang w:val="en-GB"/>
        </w:rPr>
        <w:t>var</w:t>
      </w:r>
      <w:r w:rsidR="00700445">
        <w:rPr>
          <w:rFonts w:cstheme="minorHAnsi"/>
          <w:lang w:val="en-GB"/>
        </w:rPr>
        <w:t>iations according to Article 61</w:t>
      </w:r>
      <w:r w:rsidRPr="005A7B9E">
        <w:rPr>
          <w:rFonts w:cstheme="minorHAnsi"/>
          <w:lang w:val="en-GB"/>
        </w:rPr>
        <w:t>(3) of Directive 2001/83/EC of the European Parliament and of the Council of 6 November 2001 on the Community code relating to medicinal products for human use</w:t>
      </w:r>
    </w:p>
    <w:p w14:paraId="55E6F2CC" w14:textId="77777777" w:rsidR="00871773" w:rsidRPr="005A7B9E" w:rsidRDefault="00871773" w:rsidP="00C14688">
      <w:pPr>
        <w:pStyle w:val="Akapitzlist"/>
        <w:numPr>
          <w:ilvl w:val="0"/>
          <w:numId w:val="3"/>
        </w:numPr>
        <w:spacing w:after="0" w:line="240" w:lineRule="auto"/>
        <w:jc w:val="both"/>
        <w:rPr>
          <w:rFonts w:cstheme="minorHAnsi"/>
          <w:lang w:val="en-GB"/>
        </w:rPr>
      </w:pPr>
      <w:r w:rsidRPr="005A7B9E">
        <w:rPr>
          <w:rFonts w:cstheme="minorHAnsi"/>
          <w:lang w:val="en-GB"/>
        </w:rPr>
        <w:t>renewal of a marketing authorisation for a medicinal product</w:t>
      </w:r>
    </w:p>
    <w:p w14:paraId="6F0D6EEF" w14:textId="77777777" w:rsidR="00871773" w:rsidRPr="005A7B9E" w:rsidRDefault="00871773" w:rsidP="00C14688">
      <w:pPr>
        <w:spacing w:after="0" w:line="240" w:lineRule="auto"/>
        <w:jc w:val="both"/>
        <w:rPr>
          <w:rFonts w:cstheme="minorHAnsi"/>
          <w:lang w:val="en-GB"/>
        </w:rPr>
      </w:pPr>
    </w:p>
    <w:p w14:paraId="7165B857" w14:textId="643B214F" w:rsidR="00871773" w:rsidRPr="005A7B9E" w:rsidRDefault="00700445" w:rsidP="00700445">
      <w:pPr>
        <w:spacing w:after="0" w:line="240" w:lineRule="auto"/>
        <w:jc w:val="both"/>
        <w:rPr>
          <w:rFonts w:cstheme="minorHAnsi"/>
          <w:lang w:val="en-GB"/>
        </w:rPr>
      </w:pPr>
      <w:r>
        <w:rPr>
          <w:rFonts w:cstheme="minorHAnsi"/>
          <w:lang w:val="en-GB"/>
        </w:rPr>
        <w:t xml:space="preserve">- </w:t>
      </w:r>
      <w:r w:rsidR="00871773" w:rsidRPr="005A7B9E">
        <w:rPr>
          <w:rFonts w:cstheme="minorHAnsi"/>
          <w:lang w:val="en-GB"/>
        </w:rPr>
        <w:t xml:space="preserve">the rules governing the foregoing procedures are the same as in the national procedure </w:t>
      </w:r>
      <w:r>
        <w:rPr>
          <w:rFonts w:cstheme="minorHAnsi"/>
          <w:b/>
          <w:bCs/>
          <w:lang w:val="en-GB"/>
        </w:rPr>
        <w:t xml:space="preserve">with the </w:t>
      </w:r>
      <w:r w:rsidR="00871773" w:rsidRPr="005A7B9E">
        <w:rPr>
          <w:rFonts w:cstheme="minorHAnsi"/>
          <w:b/>
          <w:bCs/>
          <w:lang w:val="en-GB"/>
        </w:rPr>
        <w:t>following exceptions</w:t>
      </w:r>
      <w:r w:rsidR="00871773" w:rsidRPr="005A7B9E">
        <w:rPr>
          <w:rFonts w:cstheme="minorHAnsi"/>
          <w:lang w:val="en-GB"/>
        </w:rPr>
        <w:t>:</w:t>
      </w:r>
    </w:p>
    <w:p w14:paraId="40571B07" w14:textId="77777777" w:rsidR="00871773" w:rsidRPr="005A7B9E" w:rsidRDefault="00871773" w:rsidP="00C14688">
      <w:pPr>
        <w:spacing w:after="0" w:line="240" w:lineRule="auto"/>
        <w:jc w:val="both"/>
        <w:rPr>
          <w:rFonts w:cstheme="minorHAnsi"/>
          <w:b/>
          <w:lang w:val="en-GB"/>
        </w:rPr>
      </w:pPr>
    </w:p>
    <w:p w14:paraId="3DEDD26E" w14:textId="49EB958D" w:rsidR="00871773" w:rsidRPr="005A7B9E" w:rsidRDefault="00871773" w:rsidP="00C14688">
      <w:pPr>
        <w:pStyle w:val="Akapitzlist"/>
        <w:numPr>
          <w:ilvl w:val="0"/>
          <w:numId w:val="18"/>
        </w:numPr>
        <w:spacing w:after="0" w:line="240" w:lineRule="auto"/>
        <w:jc w:val="both"/>
        <w:rPr>
          <w:rFonts w:cstheme="minorHAnsi"/>
          <w:lang w:val="en-GB"/>
        </w:rPr>
      </w:pPr>
      <w:r w:rsidRPr="005A7B9E">
        <w:rPr>
          <w:rFonts w:cstheme="minorHAnsi"/>
          <w:lang w:val="en-GB"/>
        </w:rPr>
        <w:t>The document granting the power of attorney</w:t>
      </w:r>
      <w:r w:rsidR="00925125">
        <w:rPr>
          <w:rFonts w:cstheme="minorHAnsi"/>
          <w:lang w:val="en-GB"/>
        </w:rPr>
        <w:t xml:space="preserve"> should be made in Polish or </w:t>
      </w:r>
      <w:r w:rsidRPr="005A7B9E">
        <w:rPr>
          <w:rFonts w:cstheme="minorHAnsi"/>
          <w:lang w:val="en-GB"/>
        </w:rPr>
        <w:t xml:space="preserve">English. If the document is </w:t>
      </w:r>
      <w:r w:rsidR="00C77181" w:rsidRPr="005A7B9E">
        <w:rPr>
          <w:rFonts w:cstheme="minorHAnsi"/>
          <w:lang w:val="en-GB"/>
        </w:rPr>
        <w:t xml:space="preserve">not in </w:t>
      </w:r>
      <w:r w:rsidRPr="005A7B9E">
        <w:rPr>
          <w:rFonts w:cstheme="minorHAnsi"/>
          <w:lang w:val="en-GB"/>
        </w:rPr>
        <w:t xml:space="preserve">Polish or English, it must be accompanied by translation into Polish or English. </w:t>
      </w:r>
      <w:r w:rsidR="00925125">
        <w:rPr>
          <w:rFonts w:cstheme="minorHAnsi"/>
          <w:lang w:val="en-GB"/>
        </w:rPr>
        <w:br/>
      </w:r>
      <w:r w:rsidRPr="005A7B9E">
        <w:rPr>
          <w:rFonts w:cstheme="minorHAnsi"/>
          <w:lang w:val="en-GB"/>
        </w:rPr>
        <w:t>The translation should be certified by a sworn translator.</w:t>
      </w:r>
    </w:p>
    <w:p w14:paraId="67AE99F4" w14:textId="77777777" w:rsidR="00871773" w:rsidRPr="005A7B9E" w:rsidRDefault="00871773" w:rsidP="00C14688">
      <w:pPr>
        <w:spacing w:after="0" w:line="240" w:lineRule="auto"/>
        <w:jc w:val="both"/>
        <w:rPr>
          <w:rFonts w:cstheme="minorHAnsi"/>
          <w:lang w:val="en-GB"/>
        </w:rPr>
      </w:pPr>
    </w:p>
    <w:p w14:paraId="48201A2D" w14:textId="6DD52C52" w:rsidR="00871773" w:rsidRPr="005A7B9E" w:rsidRDefault="00871773" w:rsidP="00C14688">
      <w:pPr>
        <w:pStyle w:val="Akapitzlist"/>
        <w:numPr>
          <w:ilvl w:val="0"/>
          <w:numId w:val="18"/>
        </w:numPr>
        <w:spacing w:after="0" w:line="240" w:lineRule="auto"/>
        <w:jc w:val="both"/>
        <w:rPr>
          <w:rFonts w:cstheme="minorHAnsi"/>
          <w:lang w:val="en-GB"/>
        </w:rPr>
      </w:pPr>
      <w:r w:rsidRPr="005A7B9E">
        <w:rPr>
          <w:rFonts w:cstheme="minorHAnsi"/>
          <w:lang w:val="en-GB"/>
        </w:rPr>
        <w:t xml:space="preserve">The power of attorney for a variation application should be submitted according to footnote 6 </w:t>
      </w:r>
      <w:proofErr w:type="spellStart"/>
      <w:r w:rsidRPr="005A7B9E">
        <w:rPr>
          <w:rFonts w:cstheme="minorHAnsi"/>
          <w:lang w:val="en-GB"/>
        </w:rPr>
        <w:t>eAF</w:t>
      </w:r>
      <w:proofErr w:type="spellEnd"/>
      <w:r w:rsidRPr="005A7B9E">
        <w:rPr>
          <w:rFonts w:cstheme="minorHAnsi"/>
          <w:lang w:val="en-GB"/>
        </w:rPr>
        <w:t xml:space="preserve"> (electronic application form)</w:t>
      </w:r>
      <w:r w:rsidR="00925125">
        <w:rPr>
          <w:rFonts w:cstheme="minorHAnsi"/>
          <w:lang w:val="en-GB"/>
        </w:rPr>
        <w:t>.</w:t>
      </w:r>
    </w:p>
    <w:p w14:paraId="12990E16" w14:textId="77777777" w:rsidR="00871773" w:rsidRPr="005A7B9E" w:rsidRDefault="00871773" w:rsidP="00C14688">
      <w:pPr>
        <w:pStyle w:val="Akapitzlist"/>
        <w:spacing w:after="0" w:line="240" w:lineRule="auto"/>
        <w:jc w:val="both"/>
        <w:rPr>
          <w:lang w:val="en-GB"/>
        </w:rPr>
      </w:pPr>
    </w:p>
    <w:p w14:paraId="662EA122" w14:textId="5E9FA8A1" w:rsidR="00775F24" w:rsidRPr="005A7B9E" w:rsidRDefault="00871773" w:rsidP="00C14688">
      <w:pPr>
        <w:pStyle w:val="Akapitzlist"/>
        <w:numPr>
          <w:ilvl w:val="0"/>
          <w:numId w:val="18"/>
        </w:numPr>
        <w:spacing w:after="0" w:line="240" w:lineRule="auto"/>
        <w:jc w:val="both"/>
        <w:rPr>
          <w:rFonts w:cstheme="minorHAnsi"/>
          <w:lang w:val="en-GB"/>
        </w:rPr>
      </w:pPr>
      <w:r w:rsidRPr="005A7B9E">
        <w:rPr>
          <w:rFonts w:cstheme="minorHAnsi"/>
          <w:lang w:val="en-GB"/>
        </w:rPr>
        <w:t xml:space="preserve">In case of post-authorisation variations, a scan of the power of attorney attached with documentation </w:t>
      </w:r>
      <w:r w:rsidR="000B3534" w:rsidRPr="005A7B9E">
        <w:rPr>
          <w:rFonts w:cstheme="minorHAnsi"/>
          <w:lang w:val="en-GB"/>
        </w:rPr>
        <w:t xml:space="preserve">submitted in </w:t>
      </w:r>
      <w:r w:rsidRPr="005A7B9E">
        <w:rPr>
          <w:rFonts w:cstheme="minorHAnsi"/>
          <w:lang w:val="en-GB"/>
        </w:rPr>
        <w:t xml:space="preserve">eCTD format </w:t>
      </w:r>
      <w:r w:rsidR="000B3534" w:rsidRPr="005A7B9E">
        <w:rPr>
          <w:rFonts w:cstheme="minorHAnsi"/>
          <w:lang w:val="en-GB"/>
        </w:rPr>
        <w:t xml:space="preserve">via </w:t>
      </w:r>
      <w:r w:rsidRPr="005A7B9E">
        <w:rPr>
          <w:rFonts w:cstheme="minorHAnsi"/>
          <w:lang w:val="en-GB"/>
        </w:rPr>
        <w:t xml:space="preserve">CESP is considered acceptable (i.e. copies of </w:t>
      </w:r>
      <w:r w:rsidR="000B3534" w:rsidRPr="005A7B9E">
        <w:rPr>
          <w:rFonts w:cstheme="minorHAnsi"/>
          <w:lang w:val="en-GB"/>
        </w:rPr>
        <w:t>hard</w:t>
      </w:r>
      <w:r w:rsidR="000B3534" w:rsidRPr="005A7B9E">
        <w:rPr>
          <w:rFonts w:cstheme="minorHAnsi"/>
          <w:lang w:val="en-GB"/>
        </w:rPr>
        <w:noBreakHyphen/>
        <w:t xml:space="preserve">copy </w:t>
      </w:r>
      <w:r w:rsidRPr="005A7B9E">
        <w:rPr>
          <w:rFonts w:cstheme="minorHAnsi"/>
          <w:lang w:val="en-GB"/>
        </w:rPr>
        <w:t>documents signed with a handwritten signature</w:t>
      </w:r>
      <w:r w:rsidR="008376B9">
        <w:rPr>
          <w:rFonts w:cstheme="minorHAnsi"/>
          <w:lang w:val="en-GB"/>
        </w:rPr>
        <w:t xml:space="preserve"> are accepted</w:t>
      </w:r>
      <w:r w:rsidRPr="005A7B9E">
        <w:rPr>
          <w:rFonts w:cstheme="minorHAnsi"/>
          <w:lang w:val="en-GB"/>
        </w:rPr>
        <w:t>).</w:t>
      </w:r>
      <w:bookmarkStart w:id="0" w:name="_GoBack"/>
      <w:bookmarkEnd w:id="0"/>
    </w:p>
    <w:sectPr w:rsidR="00775F24" w:rsidRPr="005A7B9E" w:rsidSect="005A7B9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6839" w14:textId="77777777" w:rsidR="00AB3488" w:rsidRDefault="00AB3488" w:rsidP="00DA5A7E">
      <w:pPr>
        <w:spacing w:after="0" w:line="240" w:lineRule="auto"/>
      </w:pPr>
      <w:r>
        <w:separator/>
      </w:r>
    </w:p>
  </w:endnote>
  <w:endnote w:type="continuationSeparator" w:id="0">
    <w:p w14:paraId="02DCB3C9" w14:textId="77777777" w:rsidR="00AB3488" w:rsidRDefault="00AB3488" w:rsidP="00DA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3006"/>
      <w:docPartObj>
        <w:docPartGallery w:val="Page Numbers (Bottom of Page)"/>
        <w:docPartUnique/>
      </w:docPartObj>
    </w:sdtPr>
    <w:sdtEndPr/>
    <w:sdtContent>
      <w:sdt>
        <w:sdtPr>
          <w:id w:val="1728636285"/>
          <w:docPartObj>
            <w:docPartGallery w:val="Page Numbers (Top of Page)"/>
            <w:docPartUnique/>
          </w:docPartObj>
        </w:sdtPr>
        <w:sdtEndPr/>
        <w:sdtContent>
          <w:p w14:paraId="603CB0CD" w14:textId="4B4AA6C2" w:rsidR="006257CB" w:rsidRPr="006257CB" w:rsidRDefault="006257CB" w:rsidP="006257CB">
            <w:pPr>
              <w:pStyle w:val="Nagwek"/>
              <w:pBdr>
                <w:top w:val="single" w:sz="4" w:space="1" w:color="auto"/>
              </w:pBdr>
              <w:rPr>
                <w:sz w:val="18"/>
                <w:szCs w:val="18"/>
              </w:rPr>
            </w:pPr>
            <w:r w:rsidRPr="006257CB">
              <w:rPr>
                <w:sz w:val="18"/>
                <w:szCs w:val="18"/>
              </w:rPr>
              <w:t xml:space="preserve">DZL </w:t>
            </w:r>
            <w:r w:rsidR="009E0A30">
              <w:rPr>
                <w:sz w:val="18"/>
                <w:szCs w:val="18"/>
              </w:rPr>
              <w:t>pełnomocnictwa / wersja 1.0 / 08</w:t>
            </w:r>
            <w:r w:rsidRPr="006257CB">
              <w:rPr>
                <w:sz w:val="18"/>
                <w:szCs w:val="18"/>
              </w:rPr>
              <w:t>.04.2021</w:t>
            </w:r>
          </w:p>
          <w:p w14:paraId="61C3F60D" w14:textId="33DECD92" w:rsidR="00337C10" w:rsidRPr="00337C10" w:rsidRDefault="00337C10" w:rsidP="006257CB">
            <w:pPr>
              <w:pStyle w:val="Stopka"/>
              <w:pBdr>
                <w:top w:val="single" w:sz="4" w:space="1" w:color="auto"/>
              </w:pBdr>
              <w:jc w:val="right"/>
            </w:pPr>
            <w:r w:rsidRPr="00337C10">
              <w:rPr>
                <w:sz w:val="18"/>
                <w:szCs w:val="18"/>
              </w:rPr>
              <w:t xml:space="preserve">Strona </w:t>
            </w:r>
            <w:r w:rsidRPr="00337C10">
              <w:rPr>
                <w:bCs/>
                <w:sz w:val="18"/>
                <w:szCs w:val="18"/>
              </w:rPr>
              <w:fldChar w:fldCharType="begin"/>
            </w:r>
            <w:r w:rsidRPr="00337C10">
              <w:rPr>
                <w:bCs/>
                <w:sz w:val="18"/>
                <w:szCs w:val="18"/>
              </w:rPr>
              <w:instrText>PAGE</w:instrText>
            </w:r>
            <w:r w:rsidRPr="00337C10">
              <w:rPr>
                <w:bCs/>
                <w:sz w:val="18"/>
                <w:szCs w:val="18"/>
              </w:rPr>
              <w:fldChar w:fldCharType="separate"/>
            </w:r>
            <w:r w:rsidR="008376B9">
              <w:rPr>
                <w:bCs/>
                <w:noProof/>
                <w:sz w:val="18"/>
                <w:szCs w:val="18"/>
              </w:rPr>
              <w:t>3</w:t>
            </w:r>
            <w:r w:rsidRPr="00337C10">
              <w:rPr>
                <w:bCs/>
                <w:sz w:val="18"/>
                <w:szCs w:val="18"/>
              </w:rPr>
              <w:fldChar w:fldCharType="end"/>
            </w:r>
            <w:r w:rsidRPr="00337C10">
              <w:rPr>
                <w:sz w:val="18"/>
                <w:szCs w:val="18"/>
              </w:rPr>
              <w:t xml:space="preserve"> z </w:t>
            </w:r>
            <w:r w:rsidRPr="00337C10">
              <w:rPr>
                <w:bCs/>
                <w:sz w:val="18"/>
                <w:szCs w:val="18"/>
              </w:rPr>
              <w:fldChar w:fldCharType="begin"/>
            </w:r>
            <w:r w:rsidRPr="00337C10">
              <w:rPr>
                <w:bCs/>
                <w:sz w:val="18"/>
                <w:szCs w:val="18"/>
              </w:rPr>
              <w:instrText>NUMPAGES</w:instrText>
            </w:r>
            <w:r w:rsidRPr="00337C10">
              <w:rPr>
                <w:bCs/>
                <w:sz w:val="18"/>
                <w:szCs w:val="18"/>
              </w:rPr>
              <w:fldChar w:fldCharType="separate"/>
            </w:r>
            <w:r w:rsidR="008376B9">
              <w:rPr>
                <w:bCs/>
                <w:noProof/>
                <w:sz w:val="18"/>
                <w:szCs w:val="18"/>
              </w:rPr>
              <w:t>4</w:t>
            </w:r>
            <w:r w:rsidRPr="00337C1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EB31" w14:textId="77777777" w:rsidR="00AB3488" w:rsidRDefault="00AB3488" w:rsidP="00DA5A7E">
      <w:pPr>
        <w:spacing w:after="0" w:line="240" w:lineRule="auto"/>
      </w:pPr>
      <w:r>
        <w:separator/>
      </w:r>
    </w:p>
  </w:footnote>
  <w:footnote w:type="continuationSeparator" w:id="0">
    <w:p w14:paraId="2B0A4C79" w14:textId="77777777" w:rsidR="00AB3488" w:rsidRDefault="00AB3488" w:rsidP="00DA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182"/>
    <w:multiLevelType w:val="hybridMultilevel"/>
    <w:tmpl w:val="D2581732"/>
    <w:lvl w:ilvl="0" w:tplc="0C684AD8">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29A8"/>
    <w:multiLevelType w:val="hybridMultilevel"/>
    <w:tmpl w:val="25801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B14A2"/>
    <w:multiLevelType w:val="hybridMultilevel"/>
    <w:tmpl w:val="B6EE6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934A6"/>
    <w:multiLevelType w:val="hybridMultilevel"/>
    <w:tmpl w:val="8548899C"/>
    <w:lvl w:ilvl="0" w:tplc="617421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D7018"/>
    <w:multiLevelType w:val="hybridMultilevel"/>
    <w:tmpl w:val="E65C0E70"/>
    <w:lvl w:ilvl="0" w:tplc="52A4F7A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F0D2D"/>
    <w:multiLevelType w:val="hybridMultilevel"/>
    <w:tmpl w:val="5128EE3A"/>
    <w:lvl w:ilvl="0" w:tplc="2956108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B67876"/>
    <w:multiLevelType w:val="hybridMultilevel"/>
    <w:tmpl w:val="18582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D1508"/>
    <w:multiLevelType w:val="hybridMultilevel"/>
    <w:tmpl w:val="34669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7F5A76"/>
    <w:multiLevelType w:val="hybridMultilevel"/>
    <w:tmpl w:val="ED347B18"/>
    <w:lvl w:ilvl="0" w:tplc="E7206F5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AF7E9E"/>
    <w:multiLevelType w:val="hybridMultilevel"/>
    <w:tmpl w:val="491C0B80"/>
    <w:lvl w:ilvl="0" w:tplc="6C080702">
      <w:start w:val="3"/>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693D93"/>
    <w:multiLevelType w:val="hybridMultilevel"/>
    <w:tmpl w:val="D54433E4"/>
    <w:lvl w:ilvl="0" w:tplc="7334F99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C310A"/>
    <w:multiLevelType w:val="hybridMultilevel"/>
    <w:tmpl w:val="E7C89208"/>
    <w:lvl w:ilvl="0" w:tplc="1262A13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483CE5"/>
    <w:multiLevelType w:val="hybridMultilevel"/>
    <w:tmpl w:val="1584D32E"/>
    <w:lvl w:ilvl="0" w:tplc="8CC00B3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6F11BE"/>
    <w:multiLevelType w:val="hybridMultilevel"/>
    <w:tmpl w:val="8CFC4620"/>
    <w:lvl w:ilvl="0" w:tplc="CC846FA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815387"/>
    <w:multiLevelType w:val="hybridMultilevel"/>
    <w:tmpl w:val="0AA47D4A"/>
    <w:lvl w:ilvl="0" w:tplc="0B72520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AD49AD"/>
    <w:multiLevelType w:val="hybridMultilevel"/>
    <w:tmpl w:val="D9AC3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E13A60"/>
    <w:multiLevelType w:val="hybridMultilevel"/>
    <w:tmpl w:val="CC4C0E08"/>
    <w:lvl w:ilvl="0" w:tplc="AB9274A2">
      <w:start w:val="3"/>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0456FD"/>
    <w:multiLevelType w:val="hybridMultilevel"/>
    <w:tmpl w:val="FCB2B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97392C"/>
    <w:multiLevelType w:val="hybridMultilevel"/>
    <w:tmpl w:val="252C718A"/>
    <w:lvl w:ilvl="0" w:tplc="9F8439F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232A34"/>
    <w:multiLevelType w:val="hybridMultilevel"/>
    <w:tmpl w:val="D2D48C94"/>
    <w:lvl w:ilvl="0" w:tplc="CB1684A2">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351947"/>
    <w:multiLevelType w:val="hybridMultilevel"/>
    <w:tmpl w:val="7EF62E6A"/>
    <w:lvl w:ilvl="0" w:tplc="F04654D2">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165145"/>
    <w:multiLevelType w:val="hybridMultilevel"/>
    <w:tmpl w:val="56547118"/>
    <w:lvl w:ilvl="0" w:tplc="776014E0">
      <w:start w:val="1"/>
      <w:numFmt w:val="lowerLetter"/>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3537C4"/>
    <w:multiLevelType w:val="hybridMultilevel"/>
    <w:tmpl w:val="9CF4E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412E5E"/>
    <w:multiLevelType w:val="hybridMultilevel"/>
    <w:tmpl w:val="F766A950"/>
    <w:lvl w:ilvl="0" w:tplc="5998B436">
      <w:start w:val="1"/>
      <w:numFmt w:val="lowerLetter"/>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983479"/>
    <w:multiLevelType w:val="hybridMultilevel"/>
    <w:tmpl w:val="0C185E7A"/>
    <w:lvl w:ilvl="0" w:tplc="0EF63AB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14"/>
  </w:num>
  <w:num w:numId="5">
    <w:abstractNumId w:val="1"/>
  </w:num>
  <w:num w:numId="6">
    <w:abstractNumId w:val="21"/>
  </w:num>
  <w:num w:numId="7">
    <w:abstractNumId w:val="2"/>
  </w:num>
  <w:num w:numId="8">
    <w:abstractNumId w:val="6"/>
  </w:num>
  <w:num w:numId="9">
    <w:abstractNumId w:val="5"/>
  </w:num>
  <w:num w:numId="10">
    <w:abstractNumId w:val="18"/>
  </w:num>
  <w:num w:numId="11">
    <w:abstractNumId w:val="8"/>
  </w:num>
  <w:num w:numId="12">
    <w:abstractNumId w:val="24"/>
  </w:num>
  <w:num w:numId="13">
    <w:abstractNumId w:val="15"/>
  </w:num>
  <w:num w:numId="14">
    <w:abstractNumId w:val="7"/>
  </w:num>
  <w:num w:numId="15">
    <w:abstractNumId w:val="17"/>
  </w:num>
  <w:num w:numId="16">
    <w:abstractNumId w:val="12"/>
  </w:num>
  <w:num w:numId="17">
    <w:abstractNumId w:val="0"/>
  </w:num>
  <w:num w:numId="18">
    <w:abstractNumId w:val="4"/>
  </w:num>
  <w:num w:numId="19">
    <w:abstractNumId w:val="23"/>
  </w:num>
  <w:num w:numId="20">
    <w:abstractNumId w:val="22"/>
  </w:num>
  <w:num w:numId="21">
    <w:abstractNumId w:val="19"/>
  </w:num>
  <w:num w:numId="22">
    <w:abstractNumId w:val="9"/>
  </w:num>
  <w:num w:numId="23">
    <w:abstractNumId w:val="13"/>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BA"/>
    <w:rsid w:val="0001369B"/>
    <w:rsid w:val="00023D7B"/>
    <w:rsid w:val="000263FD"/>
    <w:rsid w:val="0003155B"/>
    <w:rsid w:val="00033636"/>
    <w:rsid w:val="00036DE6"/>
    <w:rsid w:val="00062F8D"/>
    <w:rsid w:val="000849FF"/>
    <w:rsid w:val="00093962"/>
    <w:rsid w:val="000B2D7D"/>
    <w:rsid w:val="000B3534"/>
    <w:rsid w:val="000C4F73"/>
    <w:rsid w:val="000D2261"/>
    <w:rsid w:val="000F0251"/>
    <w:rsid w:val="000F61CC"/>
    <w:rsid w:val="00101A3A"/>
    <w:rsid w:val="00116EDA"/>
    <w:rsid w:val="0012749A"/>
    <w:rsid w:val="0015372B"/>
    <w:rsid w:val="00153A7E"/>
    <w:rsid w:val="00155171"/>
    <w:rsid w:val="0016185C"/>
    <w:rsid w:val="00170842"/>
    <w:rsid w:val="001737F9"/>
    <w:rsid w:val="001744B4"/>
    <w:rsid w:val="00182DCE"/>
    <w:rsid w:val="00185438"/>
    <w:rsid w:val="001C4139"/>
    <w:rsid w:val="001F2D3A"/>
    <w:rsid w:val="001F39E7"/>
    <w:rsid w:val="0020186B"/>
    <w:rsid w:val="002025E2"/>
    <w:rsid w:val="00221B39"/>
    <w:rsid w:val="0024245D"/>
    <w:rsid w:val="00256C61"/>
    <w:rsid w:val="002619DC"/>
    <w:rsid w:val="00295EFA"/>
    <w:rsid w:val="002A237C"/>
    <w:rsid w:val="002B02A9"/>
    <w:rsid w:val="002B081C"/>
    <w:rsid w:val="002B3BBE"/>
    <w:rsid w:val="002C55BA"/>
    <w:rsid w:val="002D13F2"/>
    <w:rsid w:val="002D48BA"/>
    <w:rsid w:val="002D5264"/>
    <w:rsid w:val="002E0514"/>
    <w:rsid w:val="002E0EB8"/>
    <w:rsid w:val="002F7C48"/>
    <w:rsid w:val="003146E4"/>
    <w:rsid w:val="0032080E"/>
    <w:rsid w:val="00337C10"/>
    <w:rsid w:val="003409D2"/>
    <w:rsid w:val="003417B7"/>
    <w:rsid w:val="003550F0"/>
    <w:rsid w:val="00361ECD"/>
    <w:rsid w:val="00363965"/>
    <w:rsid w:val="00364749"/>
    <w:rsid w:val="003648BB"/>
    <w:rsid w:val="00375A65"/>
    <w:rsid w:val="003803F3"/>
    <w:rsid w:val="00391876"/>
    <w:rsid w:val="003A7344"/>
    <w:rsid w:val="003C749E"/>
    <w:rsid w:val="003D3851"/>
    <w:rsid w:val="003E7A25"/>
    <w:rsid w:val="003F7A0F"/>
    <w:rsid w:val="00404908"/>
    <w:rsid w:val="00410EE6"/>
    <w:rsid w:val="004123BC"/>
    <w:rsid w:val="00420D26"/>
    <w:rsid w:val="00421854"/>
    <w:rsid w:val="00421B16"/>
    <w:rsid w:val="00444BA3"/>
    <w:rsid w:val="004610EA"/>
    <w:rsid w:val="0047081D"/>
    <w:rsid w:val="0047784F"/>
    <w:rsid w:val="004B1FC1"/>
    <w:rsid w:val="004B4690"/>
    <w:rsid w:val="004C40CC"/>
    <w:rsid w:val="004C76CB"/>
    <w:rsid w:val="004D5A0C"/>
    <w:rsid w:val="004D7F69"/>
    <w:rsid w:val="004F653E"/>
    <w:rsid w:val="00523C6A"/>
    <w:rsid w:val="00533D11"/>
    <w:rsid w:val="00533E9E"/>
    <w:rsid w:val="00540551"/>
    <w:rsid w:val="00547725"/>
    <w:rsid w:val="0055046C"/>
    <w:rsid w:val="00553931"/>
    <w:rsid w:val="00554845"/>
    <w:rsid w:val="00554FCC"/>
    <w:rsid w:val="00563B32"/>
    <w:rsid w:val="00565354"/>
    <w:rsid w:val="00566064"/>
    <w:rsid w:val="00572397"/>
    <w:rsid w:val="00572D38"/>
    <w:rsid w:val="00575DD5"/>
    <w:rsid w:val="00585B41"/>
    <w:rsid w:val="00585DED"/>
    <w:rsid w:val="005A7B9E"/>
    <w:rsid w:val="005B0757"/>
    <w:rsid w:val="005B1C7B"/>
    <w:rsid w:val="005B40A2"/>
    <w:rsid w:val="005C3EC6"/>
    <w:rsid w:val="005D03F0"/>
    <w:rsid w:val="005D5691"/>
    <w:rsid w:val="005E3AF7"/>
    <w:rsid w:val="006131C3"/>
    <w:rsid w:val="00623043"/>
    <w:rsid w:val="006257CB"/>
    <w:rsid w:val="00640CA9"/>
    <w:rsid w:val="006520C5"/>
    <w:rsid w:val="00660559"/>
    <w:rsid w:val="00665212"/>
    <w:rsid w:val="00671926"/>
    <w:rsid w:val="00681DFE"/>
    <w:rsid w:val="006904F1"/>
    <w:rsid w:val="006928EC"/>
    <w:rsid w:val="006B77FA"/>
    <w:rsid w:val="006C21C0"/>
    <w:rsid w:val="006C344F"/>
    <w:rsid w:val="006C6075"/>
    <w:rsid w:val="006D6523"/>
    <w:rsid w:val="006F464D"/>
    <w:rsid w:val="006F4A2B"/>
    <w:rsid w:val="00700445"/>
    <w:rsid w:val="00705323"/>
    <w:rsid w:val="0073116B"/>
    <w:rsid w:val="00743F22"/>
    <w:rsid w:val="00750DB3"/>
    <w:rsid w:val="00775F24"/>
    <w:rsid w:val="00781708"/>
    <w:rsid w:val="007A5398"/>
    <w:rsid w:val="007B1AE8"/>
    <w:rsid w:val="007F12A1"/>
    <w:rsid w:val="007F4FA8"/>
    <w:rsid w:val="007F51F2"/>
    <w:rsid w:val="007F635C"/>
    <w:rsid w:val="007F6B85"/>
    <w:rsid w:val="00805896"/>
    <w:rsid w:val="00816F81"/>
    <w:rsid w:val="00821B65"/>
    <w:rsid w:val="00833B91"/>
    <w:rsid w:val="008376B9"/>
    <w:rsid w:val="00843E79"/>
    <w:rsid w:val="008559A0"/>
    <w:rsid w:val="00871773"/>
    <w:rsid w:val="00882765"/>
    <w:rsid w:val="008904CB"/>
    <w:rsid w:val="008A0B11"/>
    <w:rsid w:val="008A52B1"/>
    <w:rsid w:val="008B6468"/>
    <w:rsid w:val="008D4CC5"/>
    <w:rsid w:val="008E52E0"/>
    <w:rsid w:val="008F06F1"/>
    <w:rsid w:val="00900048"/>
    <w:rsid w:val="00900525"/>
    <w:rsid w:val="00902D8A"/>
    <w:rsid w:val="009070D7"/>
    <w:rsid w:val="009126CD"/>
    <w:rsid w:val="00925125"/>
    <w:rsid w:val="009301CA"/>
    <w:rsid w:val="00933BAC"/>
    <w:rsid w:val="009372F0"/>
    <w:rsid w:val="00941A4D"/>
    <w:rsid w:val="0094799D"/>
    <w:rsid w:val="00963DE3"/>
    <w:rsid w:val="009714C9"/>
    <w:rsid w:val="00982AF4"/>
    <w:rsid w:val="009A7090"/>
    <w:rsid w:val="009B2FD8"/>
    <w:rsid w:val="009C3DF4"/>
    <w:rsid w:val="009E0491"/>
    <w:rsid w:val="009E0A30"/>
    <w:rsid w:val="009F0CEC"/>
    <w:rsid w:val="00A02830"/>
    <w:rsid w:val="00A21C1B"/>
    <w:rsid w:val="00A24847"/>
    <w:rsid w:val="00A24F1A"/>
    <w:rsid w:val="00A4430E"/>
    <w:rsid w:val="00A64A07"/>
    <w:rsid w:val="00A67007"/>
    <w:rsid w:val="00A721F5"/>
    <w:rsid w:val="00A83702"/>
    <w:rsid w:val="00A96CA5"/>
    <w:rsid w:val="00AA3A50"/>
    <w:rsid w:val="00AB3488"/>
    <w:rsid w:val="00AB60FA"/>
    <w:rsid w:val="00AD587F"/>
    <w:rsid w:val="00AE6753"/>
    <w:rsid w:val="00B069AD"/>
    <w:rsid w:val="00B34FE5"/>
    <w:rsid w:val="00B61C27"/>
    <w:rsid w:val="00B709F9"/>
    <w:rsid w:val="00BA57FA"/>
    <w:rsid w:val="00BB6BAA"/>
    <w:rsid w:val="00BC0A51"/>
    <w:rsid w:val="00BD3911"/>
    <w:rsid w:val="00C05BBE"/>
    <w:rsid w:val="00C06752"/>
    <w:rsid w:val="00C14688"/>
    <w:rsid w:val="00C2218F"/>
    <w:rsid w:val="00C23028"/>
    <w:rsid w:val="00C279F6"/>
    <w:rsid w:val="00C31EEE"/>
    <w:rsid w:val="00C3525C"/>
    <w:rsid w:val="00C509F4"/>
    <w:rsid w:val="00C60FB5"/>
    <w:rsid w:val="00C61B7E"/>
    <w:rsid w:val="00C71785"/>
    <w:rsid w:val="00C77181"/>
    <w:rsid w:val="00C841B7"/>
    <w:rsid w:val="00CC0D2F"/>
    <w:rsid w:val="00CC0FD3"/>
    <w:rsid w:val="00CC68F1"/>
    <w:rsid w:val="00CE4B60"/>
    <w:rsid w:val="00CF5898"/>
    <w:rsid w:val="00D03715"/>
    <w:rsid w:val="00D115E3"/>
    <w:rsid w:val="00D154F1"/>
    <w:rsid w:val="00D16014"/>
    <w:rsid w:val="00D20593"/>
    <w:rsid w:val="00D25B7E"/>
    <w:rsid w:val="00D36F4D"/>
    <w:rsid w:val="00D52781"/>
    <w:rsid w:val="00D90248"/>
    <w:rsid w:val="00D961AE"/>
    <w:rsid w:val="00DA5A7E"/>
    <w:rsid w:val="00DB3046"/>
    <w:rsid w:val="00DD3B50"/>
    <w:rsid w:val="00DE5AEF"/>
    <w:rsid w:val="00DE7926"/>
    <w:rsid w:val="00E021E0"/>
    <w:rsid w:val="00E22A46"/>
    <w:rsid w:val="00E2327D"/>
    <w:rsid w:val="00E232C3"/>
    <w:rsid w:val="00E24C18"/>
    <w:rsid w:val="00E26898"/>
    <w:rsid w:val="00E313B3"/>
    <w:rsid w:val="00E529EF"/>
    <w:rsid w:val="00E74AFF"/>
    <w:rsid w:val="00E9098C"/>
    <w:rsid w:val="00E97F97"/>
    <w:rsid w:val="00ED5D01"/>
    <w:rsid w:val="00EE0D3C"/>
    <w:rsid w:val="00EE11E3"/>
    <w:rsid w:val="00EE13E9"/>
    <w:rsid w:val="00EE333E"/>
    <w:rsid w:val="00F00D27"/>
    <w:rsid w:val="00F3573D"/>
    <w:rsid w:val="00F63698"/>
    <w:rsid w:val="00F70120"/>
    <w:rsid w:val="00F81A97"/>
    <w:rsid w:val="00F90A0E"/>
    <w:rsid w:val="00FA5DDA"/>
    <w:rsid w:val="00FB1D69"/>
    <w:rsid w:val="00FC06D5"/>
    <w:rsid w:val="00FC5C62"/>
    <w:rsid w:val="00FD2E5A"/>
    <w:rsid w:val="00FE4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380A"/>
  <w15:chartTrackingRefBased/>
  <w15:docId w15:val="{47E3275B-88E1-42F8-B36B-B38B1371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5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A7E"/>
  </w:style>
  <w:style w:type="paragraph" w:styleId="Stopka">
    <w:name w:val="footer"/>
    <w:basedOn w:val="Normalny"/>
    <w:link w:val="StopkaZnak"/>
    <w:uiPriority w:val="99"/>
    <w:unhideWhenUsed/>
    <w:rsid w:val="00DA5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A7E"/>
  </w:style>
  <w:style w:type="paragraph" w:styleId="Tekstdymka">
    <w:name w:val="Balloon Text"/>
    <w:basedOn w:val="Normalny"/>
    <w:link w:val="TekstdymkaZnak"/>
    <w:uiPriority w:val="99"/>
    <w:semiHidden/>
    <w:unhideWhenUsed/>
    <w:rsid w:val="00EE33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33E"/>
    <w:rPr>
      <w:rFonts w:ascii="Segoe UI" w:hAnsi="Segoe UI" w:cs="Segoe UI"/>
      <w:sz w:val="18"/>
      <w:szCs w:val="18"/>
    </w:rPr>
  </w:style>
  <w:style w:type="character" w:styleId="Hipercze">
    <w:name w:val="Hyperlink"/>
    <w:basedOn w:val="Domylnaczcionkaakapitu"/>
    <w:uiPriority w:val="99"/>
    <w:unhideWhenUsed/>
    <w:rsid w:val="00DE7926"/>
    <w:rPr>
      <w:color w:val="0000FF"/>
      <w:u w:val="single"/>
    </w:rPr>
  </w:style>
  <w:style w:type="paragraph" w:styleId="Akapitzlist">
    <w:name w:val="List Paragraph"/>
    <w:basedOn w:val="Normalny"/>
    <w:uiPriority w:val="34"/>
    <w:qFormat/>
    <w:rsid w:val="009A7090"/>
    <w:pPr>
      <w:ind w:left="720"/>
      <w:contextualSpacing/>
    </w:pPr>
  </w:style>
  <w:style w:type="character" w:styleId="Odwoaniedokomentarza">
    <w:name w:val="annotation reference"/>
    <w:basedOn w:val="Domylnaczcionkaakapitu"/>
    <w:uiPriority w:val="99"/>
    <w:semiHidden/>
    <w:unhideWhenUsed/>
    <w:rsid w:val="006B77FA"/>
    <w:rPr>
      <w:sz w:val="16"/>
      <w:szCs w:val="16"/>
    </w:rPr>
  </w:style>
  <w:style w:type="paragraph" w:styleId="Tekstkomentarza">
    <w:name w:val="annotation text"/>
    <w:basedOn w:val="Normalny"/>
    <w:link w:val="TekstkomentarzaZnak"/>
    <w:uiPriority w:val="99"/>
    <w:semiHidden/>
    <w:unhideWhenUsed/>
    <w:rsid w:val="006B7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7FA"/>
    <w:rPr>
      <w:sz w:val="20"/>
      <w:szCs w:val="20"/>
    </w:rPr>
  </w:style>
  <w:style w:type="paragraph" w:styleId="Tematkomentarza">
    <w:name w:val="annotation subject"/>
    <w:basedOn w:val="Tekstkomentarza"/>
    <w:next w:val="Tekstkomentarza"/>
    <w:link w:val="TematkomentarzaZnak"/>
    <w:uiPriority w:val="99"/>
    <w:semiHidden/>
    <w:unhideWhenUsed/>
    <w:rsid w:val="006B77FA"/>
    <w:rPr>
      <w:b/>
      <w:bCs/>
    </w:rPr>
  </w:style>
  <w:style w:type="character" w:customStyle="1" w:styleId="TematkomentarzaZnak">
    <w:name w:val="Temat komentarza Znak"/>
    <w:basedOn w:val="TekstkomentarzaZnak"/>
    <w:link w:val="Tematkomentarza"/>
    <w:uiPriority w:val="99"/>
    <w:semiHidden/>
    <w:rsid w:val="006B77FA"/>
    <w:rPr>
      <w:b/>
      <w:bCs/>
      <w:sz w:val="20"/>
      <w:szCs w:val="20"/>
    </w:rPr>
  </w:style>
  <w:style w:type="paragraph" w:styleId="Poprawka">
    <w:name w:val="Revision"/>
    <w:hidden/>
    <w:uiPriority w:val="99"/>
    <w:semiHidden/>
    <w:rsid w:val="006B77FA"/>
    <w:pPr>
      <w:spacing w:after="0" w:line="240" w:lineRule="auto"/>
    </w:pPr>
  </w:style>
  <w:style w:type="character" w:styleId="UyteHipercze">
    <w:name w:val="FollowedHyperlink"/>
    <w:basedOn w:val="Domylnaczcionkaakapitu"/>
    <w:uiPriority w:val="99"/>
    <w:semiHidden/>
    <w:unhideWhenUsed/>
    <w:rsid w:val="009B2FD8"/>
    <w:rPr>
      <w:color w:val="954F72" w:themeColor="followedHyperlink"/>
      <w:u w:val="single"/>
    </w:rPr>
  </w:style>
  <w:style w:type="character" w:customStyle="1" w:styleId="UnresolvedMention">
    <w:name w:val="Unresolved Mention"/>
    <w:basedOn w:val="Domylnaczcionkaakapitu"/>
    <w:uiPriority w:val="99"/>
    <w:semiHidden/>
    <w:unhideWhenUsed/>
    <w:rsid w:val="0008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607">
      <w:bodyDiv w:val="1"/>
      <w:marLeft w:val="0"/>
      <w:marRight w:val="0"/>
      <w:marTop w:val="0"/>
      <w:marBottom w:val="0"/>
      <w:divBdr>
        <w:top w:val="none" w:sz="0" w:space="0" w:color="auto"/>
        <w:left w:val="none" w:sz="0" w:space="0" w:color="auto"/>
        <w:bottom w:val="none" w:sz="0" w:space="0" w:color="auto"/>
        <w:right w:val="none" w:sz="0" w:space="0" w:color="auto"/>
      </w:divBdr>
    </w:div>
    <w:div w:id="366026648">
      <w:bodyDiv w:val="1"/>
      <w:marLeft w:val="0"/>
      <w:marRight w:val="0"/>
      <w:marTop w:val="0"/>
      <w:marBottom w:val="0"/>
      <w:divBdr>
        <w:top w:val="none" w:sz="0" w:space="0" w:color="auto"/>
        <w:left w:val="none" w:sz="0" w:space="0" w:color="auto"/>
        <w:bottom w:val="none" w:sz="0" w:space="0" w:color="auto"/>
        <w:right w:val="none" w:sz="0" w:space="0" w:color="auto"/>
      </w:divBdr>
    </w:div>
    <w:div w:id="6374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pl.gov.pl/pl/op&#322;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1245</Words>
  <Characters>7473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Żywiec Katarzyna</dc:creator>
  <cp:keywords/>
  <dc:description/>
  <cp:lastModifiedBy>Żywiec Katarzyna</cp:lastModifiedBy>
  <cp:revision>10</cp:revision>
  <cp:lastPrinted>2021-04-06T07:16:00Z</cp:lastPrinted>
  <dcterms:created xsi:type="dcterms:W3CDTF">2021-05-05T08:04:00Z</dcterms:created>
  <dcterms:modified xsi:type="dcterms:W3CDTF">2021-05-05T09:10:00Z</dcterms:modified>
</cp:coreProperties>
</file>